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17" w:rsidRPr="00606EDA" w:rsidRDefault="002C4117" w:rsidP="002C411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bookmarkStart w:id="0" w:name="_GoBack"/>
      <w:bookmarkEnd w:id="0"/>
      <w:r w:rsidRPr="00606ED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OBRAZLOŽENJE </w:t>
      </w:r>
      <w:r w:rsidR="005134F2" w:rsidRPr="00606ED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OPĆEG DIJELA IZVJEŠTAJA O IZVRŠENJU</w:t>
      </w:r>
      <w:r w:rsidRPr="00606ED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FINANCIJSKOG PLANA MINISTARSTVA MORA, PROMETA I INFRASTRUKTURE </w:t>
      </w:r>
      <w:r w:rsidR="00935753" w:rsidRPr="00606ED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ZA</w:t>
      </w:r>
      <w:r w:rsidRPr="00606ED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0C678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2024</w:t>
      </w:r>
      <w:r w:rsidR="00935753" w:rsidRPr="00606ED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. GODINU</w:t>
      </w:r>
    </w:p>
    <w:p w:rsidR="002C4117" w:rsidRPr="002C4117" w:rsidRDefault="002C4117" w:rsidP="002C411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C70743" w:rsidRPr="005A2C64" w:rsidRDefault="00C70743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5A2C6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06505 Ministarstvo mora, prometa i infrastrukture</w:t>
      </w:r>
    </w:p>
    <w:p w:rsidR="00C70743" w:rsidRPr="002C4117" w:rsidRDefault="00C70743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8E5233" w:rsidRDefault="005A2C64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PRIHODI</w:t>
      </w:r>
    </w:p>
    <w:p w:rsidR="002C4117" w:rsidRPr="008E5233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0C678C" w:rsidRDefault="00596118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0C678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Ministarstvo</w:t>
      </w:r>
      <w:r w:rsidR="002C4117" w:rsidRPr="000C678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je u </w:t>
      </w:r>
      <w:r w:rsidR="000C678C" w:rsidRPr="000C678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2024</w:t>
      </w:r>
      <w:r w:rsidR="008E5233" w:rsidRPr="000C678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 godini</w:t>
      </w:r>
      <w:r w:rsidR="002C4117" w:rsidRPr="000C678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ostvarilo ukupne prihode u iznosu od </w:t>
      </w:r>
      <w:r w:rsidR="000C678C" w:rsidRPr="000C678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1.127</w:t>
      </w:r>
      <w:r w:rsidR="00B8536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r w:rsidR="000C678C" w:rsidRPr="000C678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427.841,03</w:t>
      </w:r>
      <w:r w:rsidR="002C4117" w:rsidRPr="000C678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što čini </w:t>
      </w:r>
      <w:r w:rsidR="000C678C" w:rsidRPr="000C678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97,3</w:t>
      </w:r>
      <w:r w:rsidR="0057391E" w:rsidRPr="000C678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%</w:t>
      </w:r>
      <w:r w:rsidR="001A183B" w:rsidRPr="000C678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godišnjeg plana</w:t>
      </w:r>
      <w:r w:rsidR="005424CB" w:rsidRPr="000C678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prihoda</w:t>
      </w:r>
      <w:r w:rsidR="001A183B" w:rsidRPr="000C678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</w:p>
    <w:p w:rsidR="002C4117" w:rsidRPr="000C678C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0C678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Ostvareni prihodi u cijelosti se odnose na prihode poslovanja.</w:t>
      </w:r>
    </w:p>
    <w:p w:rsidR="002C4117" w:rsidRPr="002330F9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2C4117" w:rsidRPr="0068735D" w:rsidRDefault="00596118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68735D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Prihodi poslovanja</w:t>
      </w:r>
    </w:p>
    <w:p w:rsidR="002C4117" w:rsidRPr="00333398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8735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U ukupno ostvarenim prihodima poslovanja, najznačajniji su prihodi iz proračuna </w:t>
      </w:r>
      <w:r w:rsidR="0057391E" w:rsidRPr="0068735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u iznosu </w:t>
      </w:r>
      <w:r w:rsidRPr="0068735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od </w:t>
      </w:r>
      <w:r w:rsidR="0068735D" w:rsidRPr="0068735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979.255.592,50 </w:t>
      </w:r>
      <w:r w:rsidRPr="0068735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eura i čine </w:t>
      </w:r>
      <w:r w:rsidR="0068735D" w:rsidRPr="0068735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86,9</w:t>
      </w:r>
      <w:r w:rsidR="00596118" w:rsidRPr="0068735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% ostvarenih prihoda. O</w:t>
      </w:r>
      <w:r w:rsidRPr="0068735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 ukupnih prihoda </w:t>
      </w:r>
      <w:r w:rsidR="0068735D" w:rsidRPr="0068735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12,6</w:t>
      </w:r>
      <w:r w:rsidR="00F26D27" w:rsidRPr="0068735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596118" w:rsidRPr="0068735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% </w:t>
      </w:r>
      <w:r w:rsidR="006213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su</w:t>
      </w:r>
      <w:r w:rsidRPr="0068735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pomoći iz inozemstva i od subjekata unutar općeg proračuna i iznose </w:t>
      </w:r>
      <w:r w:rsidR="0068735D" w:rsidRPr="0068735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142.881.911,65 </w:t>
      </w:r>
      <w:r w:rsidRPr="0068735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eura, </w:t>
      </w:r>
      <w:r w:rsidR="00ED001A" w:rsidRPr="00ED001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0,</w:t>
      </w:r>
      <w:r w:rsidR="00ED001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</w:t>
      </w:r>
      <w:r w:rsidR="00596118" w:rsidRPr="00ED001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ED001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% su prihodi od upravnih i administrativnih pristojbi, pristojbi po posebnim propisima i naknada i iznose </w:t>
      </w:r>
      <w:r w:rsidR="00ED001A" w:rsidRPr="00ED001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5.263.921,64</w:t>
      </w:r>
      <w:r w:rsidRPr="00ED001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</w:t>
      </w:r>
      <w:r w:rsidRPr="0033339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="00596118" w:rsidRPr="0033339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 </w:t>
      </w:r>
      <w:r w:rsidR="00F26D27" w:rsidRPr="0033339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najmanji postotak čine</w:t>
      </w:r>
      <w:r w:rsidRPr="0033339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prihodi od prodaje proizvoda i robe te pruženih usluga i prihodi od donacija te iznose </w:t>
      </w:r>
      <w:r w:rsidR="002E26D6" w:rsidRPr="0033339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0,002</w:t>
      </w:r>
      <w:r w:rsidR="007C714F" w:rsidRPr="0033339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2E26D6" w:rsidRPr="0033339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% od ukupno ostvarenih prihoda</w:t>
      </w:r>
      <w:r w:rsidRPr="0033339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2201AA" w:rsidRPr="002201AA" w:rsidRDefault="00C46CF5" w:rsidP="002201AA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201AA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>P</w:t>
      </w:r>
      <w:r w:rsidR="002C4117" w:rsidRPr="002201AA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 xml:space="preserve">omoći iz inozemstva i od subjekata unutar općeg proračuna </w:t>
      </w:r>
      <w:r w:rsidR="002C4117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ostvareni su </w:t>
      </w:r>
      <w:r w:rsid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95</w:t>
      </w:r>
      <w:r w:rsidR="001A183B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2C4117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% od plana. U njihovoj strukturi najveći dio </w:t>
      </w:r>
      <w:r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(</w:t>
      </w:r>
      <w:r w:rsidR="002201AA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99,5</w:t>
      </w:r>
      <w:r w:rsidR="001A183B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2C4117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%</w:t>
      </w:r>
      <w:r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</w:t>
      </w:r>
      <w:r w:rsidR="002C4117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čine prihodi pomoći od međunarodnih organizac</w:t>
      </w:r>
      <w:r w:rsidR="00F129E4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ija te institucija i tijela EU, a odnose se na: </w:t>
      </w:r>
      <w:r w:rsidR="002201AA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prihode za podmirenje obveza u provedbi projekta Konkurentnost i kohezija u iznosu od 77.388.552,18 </w:t>
      </w:r>
      <w:r w:rsid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="002201AA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prihode za podmirenje obveza po projektu Razvoj infrastrukture širokopojasne mreže sljedeće generacije u iznosu od 27.545.842,34 </w:t>
      </w:r>
      <w:r w:rsid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="006213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="002201AA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uplaćene prihode za projekt INTERREG Vb ADRION – projekt EUREKA – Jadransko-jonska mreža razvoja i harmonizacije pomorske sigurnosti u iznosu od 616.593,95 </w:t>
      </w:r>
      <w:r w:rsidR="003E64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="002201AA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prihode iz projekta Mehanizam za oporavak i otpornost u iznosu od 35.210.726,02 </w:t>
      </w:r>
      <w:r w:rsidR="003E64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eura,</w:t>
      </w:r>
      <w:r w:rsidR="002201AA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uplaćeni </w:t>
      </w:r>
      <w:r w:rsidR="006213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predujam za projekt CEF X4ITS-s</w:t>
      </w:r>
      <w:r w:rsidR="002201AA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rednjoeuropska prekogranična suradnja za inteligentne transport</w:t>
      </w:r>
      <w:r w:rsidR="006213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ne sustave u iznosu od 40.075</w:t>
      </w:r>
      <w:r w:rsidR="002201AA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E64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="002201AA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uplaćena sredstva predujmova za projekte CEF FAIRway 2 i FAIRway 2 Danube u iznosu od 457.605,52 </w:t>
      </w:r>
      <w:r w:rsidR="003E64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="002201AA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uplaćena sredstva za projekt CEF </w:t>
      </w:r>
      <w:r w:rsidR="006213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CROCODILE II</w:t>
      </w:r>
      <w:r w:rsidR="002201AA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u iznosu od 852.127,04 </w:t>
      </w:r>
      <w:r w:rsidR="003E64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="002201AA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i povrat putnih troškova delegata Europskog vijeća i Vijeća EU u iznosu od 32.337,44 </w:t>
      </w:r>
      <w:r w:rsidR="003E64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="002201AA"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2201AA" w:rsidRPr="002201AA" w:rsidRDefault="002201AA" w:rsidP="002201AA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Najznačajniji prihodi od međunarodnih organizacija te institucija i tijela EU ostvareni su za projekte: Obnova voznog parka HŽPP</w:t>
      </w:r>
      <w:r w:rsidR="006213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</w:t>
      </w:r>
      <w:r w:rsidR="006213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novi elektromotorni vlakovi, Modernizacija pruge Zagreb – Kustošija, Cestovna povezanost s Južnom Dalmacijom, Uklanjanje uskih grla na željezničkoj infrastr</w:t>
      </w:r>
      <w:r w:rsidR="006213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ukturi, Elektrifikacija</w:t>
      </w:r>
      <w:r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pruge Vinkovci-Vukovar, Izgradnja ceste Škurinje Luka Rijeka, Elektrifikacija i ozelenjivanje sustava prihvata zrakoplova i Modernizacija tramvajske infrastrukture u Gradu Osijeku.</w:t>
      </w:r>
    </w:p>
    <w:p w:rsidR="002201AA" w:rsidRDefault="002201AA" w:rsidP="002201AA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Glavni razlog znatno manjih prihoda ostvarenih u 2024. godini u odnosu na 2023. godinu je </w:t>
      </w:r>
      <w:r w:rsidR="006213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mogućnost korištenja</w:t>
      </w:r>
      <w:r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sredstava iz Fonda solidarnosti EU do 30.</w:t>
      </w:r>
      <w:r w:rsidR="003E64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lipnja </w:t>
      </w:r>
      <w:r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2024.</w:t>
      </w:r>
      <w:r w:rsidR="003E64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godine</w:t>
      </w:r>
      <w:r w:rsidR="006213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(nezavršeni projekti financirani su iz izvora 11).</w:t>
      </w:r>
      <w:r w:rsidR="003E64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Z</w:t>
      </w:r>
      <w:r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načajno manje sredstava za projekte iz Nacionalnog plana oporavaka i otpornosti ostvareno je zbog kašnjenja u provedbi postupaka javne nabave, a pojedini projekti iz programa Konkurentnost i kohezija, koji je završio 31.</w:t>
      </w:r>
      <w:r w:rsidR="003E64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prosinca </w:t>
      </w:r>
      <w:r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2024.</w:t>
      </w:r>
      <w:r w:rsidR="003E64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godine</w:t>
      </w:r>
      <w:r w:rsidRPr="002201A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su fazirani i realizirat će se u narednom programskom razdoblju.</w:t>
      </w:r>
    </w:p>
    <w:p w:rsidR="002201AA" w:rsidRDefault="002201AA" w:rsidP="002201AA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3E6434" w:rsidRPr="009A6419" w:rsidRDefault="00CC1BFF" w:rsidP="003E6434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Od ukupno ostvarenih prihoda, </w:t>
      </w:r>
      <w:r w:rsidR="003E6434" w:rsidRPr="003E64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0,5</w:t>
      </w:r>
      <w:r w:rsidR="00F129E4" w:rsidRPr="003E64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% prihoda odnosi se na prijenose između proračunskih korisnika istog proračuna. </w:t>
      </w:r>
      <w:r w:rsidR="003E6434" w:rsidRPr="003E64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Temeljem Sporazuma o financiranju odobrenih projekata i nabavu opreme, a sukladno planu potreba Nacionalnog plana sigurnosti cestovnog prometa RH, MUP je </w:t>
      </w:r>
      <w:r w:rsidR="006213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ovom </w:t>
      </w:r>
      <w:r w:rsidR="003E6434" w:rsidRPr="003E64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Ministarstvu prenio sre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dstva u iznosu od 737.500</w:t>
      </w:r>
      <w:r w:rsidR="003E6434" w:rsidRPr="003E643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eura.</w:t>
      </w:r>
    </w:p>
    <w:p w:rsidR="00DD1F88" w:rsidRPr="00DD1F88" w:rsidRDefault="002C4117" w:rsidP="00DD1F88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C1BFF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>Prihodi od upravnih i administrativnih pristojbi, pristojbi po posebnim propisima i naknada</w:t>
      </w:r>
      <w:r w:rsidR="00E5068B" w:rsidRPr="00CC1BFF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 xml:space="preserve"> </w:t>
      </w:r>
      <w:r w:rsidR="00E5068B" w:rsidRPr="00DD1F8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uključuju prihode po posebnim propisima koji su</w:t>
      </w:r>
      <w:r w:rsidR="006213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u 2024. godini</w:t>
      </w:r>
      <w:r w:rsidR="00E5068B" w:rsidRPr="00DD1F8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ostvareni </w:t>
      </w:r>
      <w:r w:rsidR="00DD1F88" w:rsidRPr="00DD1F8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104,7</w:t>
      </w:r>
      <w:r w:rsidR="00E5068B" w:rsidRPr="00DD1F8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% od planiranih prihoda, a odnose se na</w:t>
      </w:r>
      <w:r w:rsidR="00FA67AE" w:rsidRPr="00DD1F8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D1F88" w:rsidRPr="00DD1F8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prihode uplaćene u Državni proračun na RKP Ministarstva </w:t>
      </w:r>
      <w:r w:rsidR="00E54B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kao namjenski prihodi</w:t>
      </w:r>
      <w:r w:rsidR="00DD1F88" w:rsidRPr="00DD1F8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za sigu</w:t>
      </w:r>
      <w:r w:rsidR="00E54B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rnost plovidbe u iznosu od 3.174.353,80 eura</w:t>
      </w:r>
      <w:r w:rsidR="00DD1F88" w:rsidRPr="00DD1F8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i za troškove izobrazbe pomoraca, odnosno organizaciju i održavanje ispita za pomorce </w:t>
      </w:r>
      <w:r w:rsidR="00E54B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 iznosu od 2.089.567,84 eura</w:t>
      </w:r>
      <w:r w:rsidR="00DD1F88" w:rsidRPr="00DD1F8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koji su, sukladno Pomorskom zakoniku, definirani kao namjenski prihod Ministarstva.</w:t>
      </w:r>
    </w:p>
    <w:p w:rsidR="00DD1F88" w:rsidRPr="00DD1F88" w:rsidRDefault="00DD1F88" w:rsidP="00DD1F88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D1F8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U 2024. godini ostvareni su veći prihodi nego u prethodnoj godini iz razloga što su računi za naknadu za sigurnost plovidbe </w:t>
      </w:r>
      <w:r w:rsid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 2023. godini</w:t>
      </w:r>
      <w:r w:rsidRPr="00DD1F8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svi izdani u 12 mjesecu 2023. s dospijećem u 2024. godini, a 2024. godine su računi izda</w:t>
      </w:r>
      <w:r w:rsidR="00E54BA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ni ranije.</w:t>
      </w:r>
    </w:p>
    <w:p w:rsidR="008827A9" w:rsidRPr="009A6419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827A9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 xml:space="preserve">Prihodi od prodaje proizvoda i robe te pruženih usluga i prihodi od donacija </w:t>
      </w:r>
      <w:r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ostvareni su </w:t>
      </w:r>
      <w:r w:rsidR="008827A9"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54,1</w:t>
      </w:r>
      <w:r w:rsidR="001A183B"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% od plana, a odnose se na</w:t>
      </w:r>
      <w:r w:rsidRPr="000C678C">
        <w:rPr>
          <w:rFonts w:ascii="Times New Roman" w:eastAsia="Calibri" w:hAnsi="Times New Roman" w:cs="Times New Roman"/>
          <w:color w:val="FF0000"/>
          <w:kern w:val="2"/>
          <w:sz w:val="24"/>
          <w:szCs w:val="24"/>
          <w14:ligatures w14:val="standardContextual"/>
        </w:rPr>
        <w:t xml:space="preserve"> </w:t>
      </w:r>
      <w:r w:rsidR="008827A9"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ostvarene prihode po provedbi ovršnog pos</w:t>
      </w:r>
      <w:r w:rsid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tupka po pravomoćnoj presudi, </w:t>
      </w:r>
      <w:r w:rsidR="008827A9"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radi neplaćanja obveza prema ugovoru o najmu poslovnog prostora te na prihode od iznajmljivanja poslovnih prostora i dvorane u poslovnom objektu Kockica.</w:t>
      </w:r>
    </w:p>
    <w:p w:rsidR="002C4117" w:rsidRPr="008827A9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827A9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 xml:space="preserve">Prihodi iz proračuna </w:t>
      </w:r>
      <w:r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ostvareni su </w:t>
      </w:r>
      <w:r w:rsidR="008827A9"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97,7</w:t>
      </w:r>
      <w:r w:rsidR="00C93ACA"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E5233"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% od plana. </w:t>
      </w:r>
      <w:r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 njihovoj strukturi najveći dio</w:t>
      </w:r>
      <w:r w:rsid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  <w:r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827A9"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99,0</w:t>
      </w:r>
      <w:r w:rsidR="001A183B"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%</w:t>
      </w:r>
      <w:r w:rsid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  <w:r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čine prihodi iz kojih se financiraju rashodi poslovanja Ministarstva.</w:t>
      </w:r>
      <w:r w:rsid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Manji dio, </w:t>
      </w:r>
      <w:r w:rsidR="008827A9"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1,0</w:t>
      </w:r>
      <w:r w:rsidR="002E26D6"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%</w:t>
      </w:r>
      <w:r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odnosi se na prihode iz kojih se financiraju rashodi za nabavu nefinancijske imovine te prihodi za financiranje izdataka</w:t>
      </w:r>
      <w:r w:rsidR="008827A9"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827A9"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 2024. godini su prihodi iz Državnog proračuna manji za 121,8 mil</w:t>
      </w:r>
      <w:r w:rsid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 eura u odnosu na 2023. godinu</w:t>
      </w:r>
      <w:r w:rsidR="008827A9"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jer je </w:t>
      </w:r>
      <w:r w:rsid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u </w:t>
      </w:r>
      <w:r w:rsidR="008827A9"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2023. godini iz izvora 11</w:t>
      </w:r>
      <w:r w:rsid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827A9" w:rsidRPr="008827A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djelomično financirana obnova potresom stradale prometne infrastrukture. U 2024. godini manji su i prihodi za financiranje izdataka za financijsku imovinu jer je u 2023. godini isplaćen zajam društvu Pružne građevine.</w:t>
      </w:r>
    </w:p>
    <w:p w:rsidR="002C4117" w:rsidRPr="009A6419" w:rsidRDefault="002C4117" w:rsidP="001A183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2C4117" w:rsidRPr="009A6419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9A641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RASHODI </w:t>
      </w:r>
    </w:p>
    <w:p w:rsidR="002C4117" w:rsidRPr="009A6419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A718D5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Ukupni rashodi Ministarstva u </w:t>
      </w:r>
      <w:r w:rsidR="00A718D5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2024</w:t>
      </w:r>
      <w:r w:rsidR="00A9077C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 godine iznose</w:t>
      </w:r>
      <w:r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A718D5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1.224</w:t>
      </w:r>
      <w:r w:rsidR="005130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="00A718D5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397.599,74</w:t>
      </w:r>
      <w:r w:rsidR="002E26D6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="001A183B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  <w:r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što je </w:t>
      </w:r>
      <w:r w:rsidR="00A718D5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97,3</w:t>
      </w:r>
      <w:r w:rsidR="001A183B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A9077C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% od godišnjeg plana, a sastoje se od</w:t>
      </w:r>
      <w:r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</w:t>
      </w:r>
    </w:p>
    <w:p w:rsidR="00513007" w:rsidRPr="00A718D5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</w:t>
      </w:r>
      <w:r w:rsidR="005130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rashoda poslovanja, koji su izvršeni u iznosu od </w:t>
      </w:r>
      <w:r w:rsidR="00A718D5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1.214.347.367,25</w:t>
      </w:r>
      <w:r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 ili </w:t>
      </w:r>
      <w:r w:rsidR="00A718D5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97,6</w:t>
      </w:r>
      <w:r w:rsidR="001A183B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% od plana</w:t>
      </w:r>
      <w:r w:rsidR="00A9077C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="001A183B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te čine </w:t>
      </w:r>
      <w:r w:rsidR="003245B9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99,2</w:t>
      </w:r>
      <w:r w:rsidR="001A183B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% ukupnih rashoda</w:t>
      </w:r>
    </w:p>
    <w:p w:rsidR="002C4117" w:rsidRPr="00A718D5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</w:t>
      </w:r>
      <w:r w:rsidR="005130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rashoda za nabavu nefinancijske imovine</w:t>
      </w:r>
      <w:r w:rsidR="00A9077C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  <w:r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koji su izvršeni u iznosu od </w:t>
      </w:r>
      <w:r w:rsidR="00A718D5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10.050.232,49</w:t>
      </w:r>
      <w:r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1A183B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eura ili </w:t>
      </w:r>
      <w:r w:rsidR="00A718D5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73,9</w:t>
      </w:r>
      <w:r w:rsidR="001A183B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% od plana te čine </w:t>
      </w:r>
      <w:r w:rsidR="003245B9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0,8</w:t>
      </w:r>
      <w:r w:rsidR="001A183B"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A718D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% ukupnih rashoda.</w:t>
      </w:r>
    </w:p>
    <w:p w:rsidR="002C4117" w:rsidRPr="00367C8F" w:rsidRDefault="002C4117" w:rsidP="00A9077C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C4117" w:rsidRPr="00367C8F" w:rsidRDefault="002C4117" w:rsidP="002C4117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367C8F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Rashodi prema ekonomskoj klasifikaciji</w:t>
      </w:r>
    </w:p>
    <w:p w:rsidR="002C4117" w:rsidRPr="00367C8F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2C4117" w:rsidRPr="00367C8F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67C8F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Rashodi poslovanja</w:t>
      </w:r>
    </w:p>
    <w:p w:rsidR="002C4117" w:rsidRPr="00367C8F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kern w:val="2"/>
          <w:sz w:val="20"/>
          <w:szCs w:val="20"/>
          <w14:ligatures w14:val="standardContextual"/>
        </w:rPr>
      </w:pPr>
      <w:r w:rsidRPr="00367C8F">
        <w:rPr>
          <w:rFonts w:ascii="Times New Roman" w:eastAsia="Calibri" w:hAnsi="Times New Roman" w:cs="Times New Roman"/>
          <w:bCs/>
          <w:i/>
          <w:kern w:val="2"/>
          <w:sz w:val="20"/>
          <w:szCs w:val="20"/>
          <w14:ligatures w14:val="standardContextual"/>
        </w:rPr>
        <w:t>Tabl</w:t>
      </w:r>
      <w:r w:rsidR="00367C8F">
        <w:rPr>
          <w:rFonts w:ascii="Times New Roman" w:eastAsia="Calibri" w:hAnsi="Times New Roman" w:cs="Times New Roman"/>
          <w:bCs/>
          <w:i/>
          <w:kern w:val="2"/>
          <w:sz w:val="20"/>
          <w:szCs w:val="20"/>
          <w14:ligatures w14:val="standardContextual"/>
        </w:rPr>
        <w:t>ica 1. Rashodi poslovanja u 2023. i 2024</w:t>
      </w:r>
      <w:r w:rsidRPr="00367C8F">
        <w:rPr>
          <w:rFonts w:ascii="Times New Roman" w:eastAsia="Calibri" w:hAnsi="Times New Roman" w:cs="Times New Roman"/>
          <w:bCs/>
          <w:i/>
          <w:kern w:val="2"/>
          <w:sz w:val="20"/>
          <w:szCs w:val="20"/>
          <w14:ligatures w14:val="standardContextual"/>
        </w:rPr>
        <w:t>. godini</w:t>
      </w:r>
    </w:p>
    <w:p w:rsidR="002C4117" w:rsidRPr="00367C8F" w:rsidRDefault="00367C8F" w:rsidP="002C411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367C8F">
        <w:rPr>
          <w:noProof/>
          <w:lang w:eastAsia="hr-HR"/>
        </w:rPr>
        <w:lastRenderedPageBreak/>
        <w:drawing>
          <wp:inline distT="0" distB="0" distL="0" distR="0">
            <wp:extent cx="6192520" cy="2503584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50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17" w:rsidRPr="00D47DCA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2C4117" w:rsidRPr="002D58B1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D47DC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U strukturi rashoda poslovanja najveći udio od </w:t>
      </w:r>
      <w:r w:rsidR="00D47DCA" w:rsidRPr="00D47DC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79,9</w:t>
      </w:r>
      <w:r w:rsidR="001A183B" w:rsidRPr="00D47DC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D47DC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% čine pomoći dane u inozemstvo i unutar općeg proračuna, a slijede </w:t>
      </w:r>
      <w:r w:rsidR="007F020E"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subvencije </w:t>
      </w:r>
      <w:r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s udjelom od </w:t>
      </w:r>
      <w:r w:rsidR="002D58B1"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8</w:t>
      </w:r>
      <w:r w:rsidR="000D1AF4"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,2</w:t>
      </w:r>
      <w:r w:rsidR="001A183B"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0D1AF4"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%</w:t>
      </w:r>
      <w:r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, </w:t>
      </w:r>
      <w:r w:rsid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rashodi za donacije, kazne, naknade šteta i kapitalne pomoći od 7,7 %, </w:t>
      </w:r>
      <w:r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rashodi za zaposlene s udjelom od </w:t>
      </w:r>
      <w:r w:rsid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2,2</w:t>
      </w:r>
      <w:r w:rsidR="005F0112"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%</w:t>
      </w:r>
      <w:r w:rsidR="005F0112"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te materijal</w:t>
      </w:r>
      <w:r w:rsidR="00B12AB4"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ni rashodi s udjelom od </w:t>
      </w:r>
      <w:r w:rsidR="000D1AF4"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</w:t>
      </w:r>
      <w:r w:rsidR="002D58B1"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,3</w:t>
      </w:r>
      <w:r w:rsidR="005F0112"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B12AB4"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%. </w:t>
      </w:r>
      <w:r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Ostatak od </w:t>
      </w:r>
      <w:r w:rsidR="002D58B1"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0,6</w:t>
      </w:r>
      <w:r w:rsidR="00B12AB4"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2D58B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% od ukupnih rashoda čine naknade građanima i kućanstvima na temelju osiguranja i druge naknade te financijski rashodi.</w:t>
      </w:r>
    </w:p>
    <w:p w:rsidR="00B21777" w:rsidRPr="00B21777" w:rsidRDefault="00FC04C9" w:rsidP="00B2177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B21777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>Rashodi za zaposlene</w:t>
      </w:r>
      <w:r w:rsidRPr="00B2177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su u 2023. godini ostvareni u iznosu od </w:t>
      </w:r>
      <w:r w:rsidR="00B21777" w:rsidRPr="00B2177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26.594.126,72</w:t>
      </w:r>
      <w:r w:rsidRPr="00B2177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eura. </w:t>
      </w:r>
      <w:r w:rsidR="00B21777" w:rsidRPr="00B2177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Na dan 1. siječnja 2024. godine bilo je zaposleno 760 službenika i namještenika na neodređeno vrijeme i 8 službenika na određeno vrijeme. Na dan 31. prosinca 2024. godine bilo je zaposleno 805 službenika i namještenika na neodređeno vrijeme i 6 službenika na određeno vrijeme.</w:t>
      </w:r>
    </w:p>
    <w:p w:rsidR="00B21777" w:rsidRPr="00B21777" w:rsidRDefault="00B21777" w:rsidP="00B2177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B2177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U razdoblju od 1. siječnja 2024. godine do 31. prosinca 2024. godine zaposleno je 84 službenika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i namještenika na neodređeno i </w:t>
      </w:r>
      <w:r w:rsidRPr="00B2177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16 službenika na određeno vrijeme. U navedenom razdoblju otišlo je 39 službenika na neodređeno i 18 službenika na određeno vrijeme.</w:t>
      </w:r>
    </w:p>
    <w:p w:rsidR="00B21777" w:rsidRPr="00B21777" w:rsidRDefault="00B21777" w:rsidP="00B2177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B2177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Ministarstvo je u 2023. isplaćivalo plaće za 3 službenika koji rade u Misiji RH u EU. Djelatnicima koji obavljaju poslove provedbe projekata koji se financiraju iz fondova EU, 85% bruto plaće se financira iz izvora 562, 563 i 559, a 15% iz izvora 12 (proračunska sredstva).</w:t>
      </w:r>
    </w:p>
    <w:p w:rsidR="00FC04C9" w:rsidRPr="00B21777" w:rsidRDefault="00B21777" w:rsidP="00B2177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B2177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Od plaće za ožujak /2024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 godine</w:t>
      </w:r>
      <w:r w:rsidRPr="00B2177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u primjeni su odredbe novog Zakona o plaćama u državnoj službi i javnim službama i Uredba o nazivima radnih mjesta, uvjetima za raspored i koeficijentima za obračun plaće u državnoj službi kojom su utvrđeni znatno veći koeficijenti složenosti poslo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va u odnosu na ranije razdoblje</w:t>
      </w:r>
      <w:r w:rsidRPr="00B2177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te je iz tog razloga došlo do povećanja rashoda za zaposlene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 u odnosu na prethodnu godinu</w:t>
      </w:r>
      <w:r w:rsidRPr="00B2177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</w:p>
    <w:p w:rsidR="00E96F1E" w:rsidRPr="00701ABF" w:rsidRDefault="00244641" w:rsidP="00E96F1E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513007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>Materijalni rashodi</w:t>
      </w:r>
      <w:r w:rsidRPr="0051300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su u 2023. godini izvršeni u iznosu od </w:t>
      </w:r>
      <w:r w:rsidR="00E96F1E" w:rsidRPr="0051300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16.272.276,44</w:t>
      </w:r>
      <w:r w:rsidRPr="0051300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eura. </w:t>
      </w:r>
      <w:r w:rsidR="00E96F1E" w:rsidRPr="0051300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Najznačajniji materijalni rashodi ostvareni su za usluge tekućeg i investicijskog održavanja u iznosu od </w:t>
      </w:r>
      <w:r w:rsidR="00513007" w:rsidRPr="0051300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3.749.881,74</w:t>
      </w:r>
      <w:r w:rsidR="00E96F1E" w:rsidRPr="0051300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eura,</w:t>
      </w:r>
      <w:r w:rsidR="0075060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računalne usluge u iznosu od 1.934.511,30 eura, zakupnine i najamnine u iznosu od 1.660.476 eura, </w:t>
      </w:r>
      <w:r w:rsidR="00F459D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isplate </w:t>
      </w:r>
      <w:r w:rsidR="0075060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n</w:t>
      </w:r>
      <w:r w:rsidR="00F459D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aknada</w:t>
      </w:r>
      <w:r w:rsidR="0075060F" w:rsidRPr="0075060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F459D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članovima povjerenstava</w:t>
      </w:r>
      <w:r w:rsidR="0075060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u iznosu od</w:t>
      </w:r>
      <w:r w:rsidR="0075060F" w:rsidRPr="0075060F">
        <w:t xml:space="preserve"> </w:t>
      </w:r>
      <w:r w:rsidR="0075060F" w:rsidRPr="0075060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1.618.529,31</w:t>
      </w:r>
      <w:r w:rsidR="0075060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eura, energiju u iznosu od </w:t>
      </w:r>
      <w:r w:rsidR="0075060F" w:rsidRPr="0075060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1.229.387,49</w:t>
      </w:r>
      <w:r w:rsidR="0075060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</w:t>
      </w:r>
      <w:r w:rsidR="00F459D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r w:rsidR="00F459D6" w:rsidRPr="00F459D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C228B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Ukupno ostvareni rashodi za usluge tekućeg i investicijskog održavanja odnosi se na sigurnost plovidbe, ugla</w:t>
      </w:r>
      <w:r w:rsidR="00E96F1E" w:rsidRPr="00F459D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vnom za održavanje brodica i opreme, na tehničko održavanje plovnih putova na unu</w:t>
      </w:r>
      <w:r w:rsidR="00C228B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tarnjim vodama i na</w:t>
      </w:r>
      <w:r w:rsidR="00E96F1E" w:rsidRPr="00F459D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održavanje poslovnih zgrada Ministarstva</w:t>
      </w:r>
      <w:r w:rsidR="00E96F1E" w:rsidRPr="00C228B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 Veći rashodi za usluge tekućeg i investicijskog održavanja, u odnosu na 2023. godinu, ostvareni su zbog rasta cijena usluga.</w:t>
      </w:r>
      <w:r w:rsidR="00C228B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C228BC" w:rsidRPr="00C228B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Rashodi za računalne usluge u 2024. godini veći su u odnosu na 2023. godinu zbog rasta cijena održavanja računalnih programa i korisničke podrške.</w:t>
      </w:r>
      <w:r w:rsidR="00C228B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C228BC" w:rsidRPr="00C228B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Rashodi za zakupnine i najamnine veći su za u odnosu na 2023. godinu zbog nabave novih licenci za </w:t>
      </w:r>
      <w:r w:rsidR="00C228B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uvođenje dvo</w:t>
      </w:r>
      <w:r w:rsidR="00C228BC" w:rsidRPr="00C228B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faktorske aut</w:t>
      </w:r>
      <w:r w:rsidR="00C228B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entikacije</w:t>
      </w:r>
      <w:r w:rsidR="00C228BC" w:rsidRPr="00C228B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za nadzor </w:t>
      </w:r>
      <w:r w:rsidR="00C228BC" w:rsidRPr="00701AB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računala i MDM i pretplata za digitalne certifikate u okviru procesa digitalizacije. </w:t>
      </w:r>
      <w:r w:rsidR="00E96F1E" w:rsidRPr="00701AB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Naknade članovima ispitnih povjerenstava za održavanje ispita za pomorce, isp</w:t>
      </w:r>
      <w:r w:rsidR="00C228BC" w:rsidRPr="00701AB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laćene su iz namjenskih prihoda, a r</w:t>
      </w:r>
      <w:r w:rsidR="00E96F1E" w:rsidRPr="00701AB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ashodi za energiju u 2024. godini veći su u odnosu na </w:t>
      </w:r>
      <w:r w:rsidR="00701ABF" w:rsidRPr="00701AB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2023. godinu zbog rasta </w:t>
      </w:r>
      <w:r w:rsidR="00E96F1E" w:rsidRPr="00701AB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cijena energenata.</w:t>
      </w:r>
    </w:p>
    <w:p w:rsidR="00B73CFF" w:rsidRPr="00BD43D7" w:rsidRDefault="00B73CFF" w:rsidP="00E96F1E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BD43D7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>Financijski rashodi</w:t>
      </w:r>
      <w:r w:rsidRPr="00BD43D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BD43D7" w:rsidRPr="00BD43D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su u 2024</w:t>
      </w:r>
      <w:r w:rsidR="0035507B" w:rsidRPr="00BD43D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. godini izvršeni u iznosu od </w:t>
      </w:r>
      <w:r w:rsidR="00BD43D7" w:rsidRPr="00BD43D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91.296,97 </w:t>
      </w:r>
      <w:r w:rsidR="0035507B" w:rsidRPr="00BD43D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eura, a najznačajniji se odnose na isplatu zateznih kamata po pravomoćnim sudskim presudama, zbog neisp</w:t>
      </w:r>
      <w:r w:rsidR="00BD43D7" w:rsidRPr="00BD43D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laćenih sati prekovremenog rada i naknada šteta.</w:t>
      </w:r>
    </w:p>
    <w:p w:rsidR="00BD43D7" w:rsidRDefault="002C4117" w:rsidP="00BD43D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D43D7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 xml:space="preserve">Subvencije </w:t>
      </w:r>
      <w:r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su u 2</w:t>
      </w:r>
      <w:r w:rsidR="00BD43D7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024</w:t>
      </w:r>
      <w:r w:rsidR="000D1AF4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 godini</w:t>
      </w:r>
      <w:r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izvršene u iznosu od </w:t>
      </w:r>
      <w:r w:rsidR="00BD43D7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99.640.792,49 </w:t>
      </w:r>
      <w:r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="00B12AB4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  <w:r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što predstavlja </w:t>
      </w:r>
      <w:r w:rsidR="00BD43D7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105,3</w:t>
      </w:r>
      <w:r w:rsidR="00B12AB4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% od planiranih sredstava, a odnose se na </w:t>
      </w:r>
      <w:r w:rsidR="00BD43D7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Osiguranje sigurnosno prometnih standarda u zračnim luk</w:t>
      </w:r>
      <w:r w:rsid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ama u iznosu od 1.442.655,95 eura, </w:t>
      </w:r>
      <w:r w:rsidR="00BD43D7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Očuvanje prometne povezanosti regija (domaći linijski zračni prijevoz) u iznosu od 21.706.782,46 </w:t>
      </w:r>
      <w:r w:rsid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eura, </w:t>
      </w:r>
      <w:r w:rsidR="00BD43D7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Naknada troškova Hrvatskoj kontroli zračne plovidbe za rutne i terminalne naknade za izuzete l</w:t>
      </w:r>
      <w:r w:rsid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etove u iznosu od 598.146,87 eura, </w:t>
      </w:r>
      <w:r w:rsidR="00BD43D7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Naknada poduzetnicima za obavljanje univerzalne poštanske uslu</w:t>
      </w:r>
      <w:r w:rsid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ge u iznosu od 25.109.179,37 eura, </w:t>
      </w:r>
      <w:r w:rsidR="00BD43D7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Sufinanciranje ukrcaja vježbenika na brodove u međunarodnoj i nacionalnoj pl</w:t>
      </w:r>
      <w:r w:rsid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ovidbi u iznosu od 1.061.782 eura, </w:t>
      </w:r>
      <w:r w:rsidR="00BD43D7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Uklanjanje podrtina i potonulih </w:t>
      </w:r>
      <w:r w:rsid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stvari u iznosu od 44.607,39 eura, </w:t>
      </w:r>
      <w:r w:rsidR="00BD43D7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Provedba ugovora o koncesiji Bina-Ist</w:t>
      </w:r>
      <w:r w:rsid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ra u iznosu od 30.141.186,02 eura, </w:t>
      </w:r>
      <w:r w:rsidR="00BD43D7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Provedba ugovora o koncesiji AC Zagreb – Mace</w:t>
      </w:r>
      <w:r w:rsid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lj u iznosu od 12.142.869,21 eura, </w:t>
      </w:r>
      <w:r w:rsidR="00BD43D7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Opremanje inspekcije opremom i ostalim uređ</w:t>
      </w:r>
      <w:r w:rsid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ajima u iznosu od 402.876,99 eura,</w:t>
      </w:r>
      <w:r w:rsidR="00BD43D7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Kibernetička sigurnost u hrvatskom pomorskom pr</w:t>
      </w:r>
      <w:r w:rsid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ometu u iznosu od 401.801,45 eura, </w:t>
      </w:r>
      <w:r w:rsidR="00BD43D7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Projekt OP Konkurentnost i ko</w:t>
      </w:r>
      <w:r w:rsid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hezija u iznosu od 47.545,51 eura, </w:t>
      </w:r>
      <w:r w:rsidR="00BD43D7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Razvoj infrastrukture širokopojasne </w:t>
      </w:r>
      <w:r w:rsid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mreže u iznosu od 298.553 eura i Nadoknadu</w:t>
      </w:r>
      <w:r w:rsidR="00BD43D7"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dijela troškova dizelskog goriva koje se koristi kao pogonsko gorivo u komercijalnom prijevozu putn</w:t>
      </w:r>
      <w:r w:rsid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ika u iznosu od 8.812.212,27 eura.</w:t>
      </w:r>
    </w:p>
    <w:p w:rsidR="00BD43D7" w:rsidRDefault="00BD43D7" w:rsidP="002C411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Rashodi za subvencije u 202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4. godini veći su za 7,6 mil. eura u odnosu na 2023. godinu, a najznačajnije povećanje</w:t>
      </w:r>
      <w:r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odnosi se na način isplate subvencije za obavljanje univerzalne poštanske usluge. U 2023. godini subvencija se isplaćivala jednokratno na temelju izračuna HAKOM-a za prethodnu godinu, a u 2024. godini ugovorena</w:t>
      </w:r>
      <w:r w:rsidR="00780FA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je kvartalna isplata</w:t>
      </w:r>
      <w:r w:rsidRPr="00BD43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te je u 2024. godini isplaćena subvencija za 3 kvartala prije konačnog obračuna i konačni obračun za 2023. godinu.</w:t>
      </w:r>
    </w:p>
    <w:p w:rsidR="00780FAF" w:rsidRDefault="002C4117" w:rsidP="00780FAF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780FAF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>Pomoći dane u inozemstvo i unutar općeg proračuna</w:t>
      </w:r>
      <w:r w:rsidRPr="00780FA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izvršene su u iznosu od </w:t>
      </w:r>
      <w:r w:rsidR="00780FAF" w:rsidRPr="00780FA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970.047.707,41</w:t>
      </w:r>
      <w:r w:rsidRPr="00780FA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="00793C86" w:rsidRPr="00780FA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Pr="00780FA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što predstavlja </w:t>
      </w:r>
      <w:r w:rsidR="00780FAF" w:rsidRPr="00780FA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82,7</w:t>
      </w:r>
      <w:r w:rsidR="00793C86" w:rsidRPr="00780FA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780FA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% od planiranih sredstava, a </w:t>
      </w:r>
      <w:r w:rsid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najznačajnije se </w:t>
      </w:r>
      <w:r w:rsidR="00780FAF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odnose na aktivnosti i projekte: </w:t>
      </w:r>
      <w:r w:rsidR="001452F3" w:rsidRP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Upravljanje, organizacija i regulacija željezničkog prome</w:t>
      </w:r>
      <w:r w:rsid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ta u iznosu od 63.900.000 eura, </w:t>
      </w:r>
      <w:r w:rsidR="001452F3" w:rsidRP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Naknada u cijeni goriva za Hrvatske autoceste u izno</w:t>
      </w:r>
      <w:r w:rsid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su od 56.000.000 eura, </w:t>
      </w:r>
      <w:r w:rsidR="001452F3" w:rsidRP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Naknada u cijeni goriva za H</w:t>
      </w:r>
      <w:r w:rsid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ŽI u iznosu od 78.000.000 eura, </w:t>
      </w:r>
      <w:r w:rsidR="001452F3" w:rsidRP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Poticanje željezničkog putničkog prijevoz</w:t>
      </w:r>
      <w:r w:rsid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a u iznosu od 115.224.570,17 eura, </w:t>
      </w:r>
      <w:r w:rsidR="001452F3" w:rsidRP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Potpora županijskim upravama za ceste za održavanje, rekonstrukciju i građenje županijskih i lokalnih ces</w:t>
      </w:r>
      <w:r w:rsid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ta u iznosu od 24.996.373,51 eura, </w:t>
      </w:r>
      <w:r w:rsidR="001452F3" w:rsidRP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Financiranje i sufinanciranje građenja, modernizacije i obnove željezničke infrastruktur</w:t>
      </w:r>
      <w:r w:rsid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e u iznosu od 127.479.449,02 eura, </w:t>
      </w:r>
      <w:r w:rsidR="001452F3" w:rsidRP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Potpora u provedbi CEF Projekata željezničkog sekto</w:t>
      </w:r>
      <w:r w:rsid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ra u iznosu od 21.397.296 eura, </w:t>
      </w:r>
      <w:r w:rsidR="001452F3" w:rsidRP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Potpora društvu HŽ Infrastruktura za otplatu zajma IB</w:t>
      </w:r>
      <w:r w:rsid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RD u iznosu od 21.143.286,43 eura, </w:t>
      </w:r>
      <w:r w:rsidR="001452F3" w:rsidRP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Pomoći temeljem prijenosa sredstava u okviru OP Konkurentnost i kohezija 2021-2027. u iznosu od 24.307.230,64 </w:t>
      </w:r>
      <w:r w:rsid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="001452F3" w:rsidRP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(od čega se najznačajniji iznos odnosi na projekt Obnova voznog parka putničkog prijevoza)</w:t>
      </w:r>
      <w:r w:rsid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i </w:t>
      </w:r>
      <w:r w:rsidR="001452F3" w:rsidRP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Pomoći za provedbu projekata iz Nacionalnog plana oporavka i otpornosti (modernizacija dionice pruge Zagreb-Kustošija i uklanjanje uskih grla na željezničkoj infrastruktur</w:t>
      </w:r>
      <w:r w:rsidR="001452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i) u iznosu od 20.000.163,41 eura.</w:t>
      </w:r>
    </w:p>
    <w:p w:rsidR="00B85D2B" w:rsidRPr="00B85D2B" w:rsidRDefault="00B85D2B" w:rsidP="00B85D2B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Ova je skupina rashoda u 2024. godini ostvarena</w:t>
      </w:r>
      <w:r w:rsidRPr="00B85D2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za 203,4 mil eura manje</w:t>
      </w:r>
      <w:r w:rsidRPr="00B85D2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u odnosu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na isto razdoblja 2023. godine, a glavni</w:t>
      </w:r>
      <w:r w:rsidRPr="00B85D2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razlog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tome</w:t>
      </w:r>
      <w:r w:rsidRPr="00B85D2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je korištenje sredstava iz Fonda solidarnosti EU (izvor 5761 i 5762) za obnovu u potresu uništene infrastrukture. U 2023. godini iz Fonda solidarnosti EU financirani su rashodi u iznosu od 107,3 mil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B85D2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, a za završetak projekata iz izvora 11 su financirani rashodi u iznosu od 161 mil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B85D2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.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Također, </w:t>
      </w:r>
      <w:r w:rsidRPr="00B85D2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u 2024. godini rashodi iz OP Konkurentnost i kohezija manji su za 108,5 mil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B85D2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jer je programsko razdoblje završilo 31.12.2023.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godine </w:t>
      </w:r>
      <w:r w:rsidRPr="00B85D2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i većina projekata je završe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na, a iz </w:t>
      </w:r>
      <w:r w:rsidRPr="00B85D2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OP Konkurentnost i kohezija 2021-2027. realizirani su projek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ti u iznosu od 24.307.230,64 eura. </w:t>
      </w:r>
    </w:p>
    <w:p w:rsidR="00B85D2B" w:rsidRPr="00B85D2B" w:rsidRDefault="00B85D2B" w:rsidP="00B85D2B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D</w:t>
      </w:r>
      <w:r w:rsidRPr="00B85D2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o značajnog odstupanja izvršenja u 2024. godini u odnosu na 2023. godinu za upravljanje, organizaciju i regulaciju željezničkog prometa (u 2024. je izvršeno 26 mil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B85D2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manje nego u 2023.) došlo je radi ograničenja limita u 2024. godini pri čemu odobrena financijska sredstva nisu bila dostatna za izmirenje obveza prema dobavljačima u zadnjem kvartalu 2024. godine kao niti za izmirenje obveza s osnova plaća i ostalih materijalnih prava zaposlenika društva HŽI d.o.o. (isplata u prosincu 2024. godine). Osim toga, u 2023. godini na ovoj proračunskoj stavci je tijekom Izmjena i dopuna Državnog proračuna za 2023. godinu (NN 129/23) odobren i dodatni iznos od 10.130.073,67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B85D2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za podmirenje dodatnog poreza na dobit, a koji je bio posljedica provedbe Nagodbe između Republike Hrvatske i društva HŽ Cargo d.o.o. odnosno Ugovora o cesiji sklopljenog između Republike Hrvatske, društva HŽI d.o.o. i društva HŽ Cargo d.o.o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..</w:t>
      </w:r>
    </w:p>
    <w:p w:rsidR="001452F3" w:rsidRPr="00780FAF" w:rsidRDefault="00B85D2B" w:rsidP="00780FAF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</w:t>
      </w:r>
      <w:r w:rsidRPr="00B85D2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2024. godini za poticanje željezničkog putničkog prijevoza rashodi su veći za 35,6 mil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r w:rsidRPr="00B85D2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 u odnosu na 2023. godinu, a na to povećanje je utjecao</w:t>
      </w:r>
      <w:r w:rsidRPr="00B85D2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izostali prihod na temelju provedbe pilot-projekta besplatnoga javnog željezničkog prijevoza djece i učenika osnovnih i srednjih škola na području Republike Hrvatske, provedbe besplatnog prijevoza za stanovnike s područja Sisačko-moslavačke županije, pilot-projekta povoljnijeg prijevoza redovnih studenata. Operativni troškovi povećani su zbog rasta cijena, niskih brzina na prugama te uvođenja brzih vlakova na relacijama Zagreb – Požega, Zagreb – Sisak, Zagreb – Zabok, Zagreb – Duga Resa i Zagreb – Križevci.</w:t>
      </w:r>
    </w:p>
    <w:p w:rsidR="00515D27" w:rsidRDefault="003954D7" w:rsidP="00515D2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515D27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>Naknade građanima i kućanstvima na temelju osiguranja i druge naknade</w:t>
      </w:r>
      <w:r w:rsidRP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DA7248" w:rsidRP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izvršene su u iznosu od </w:t>
      </w:r>
      <w:r w:rsidR="00515D27" w:rsidRP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7.758.641,86 eura</w:t>
      </w:r>
      <w:r w:rsid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. </w:t>
      </w:r>
      <w:r w:rsidR="00515D27" w:rsidRP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Naknade građanima i k</w:t>
      </w:r>
      <w:r w:rsid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ućanstvima u novcu odnose se na s</w:t>
      </w:r>
      <w:r w:rsidR="00515D27" w:rsidRP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tipendije i školarine zaposlenicima Ministarstva  i ostale n</w:t>
      </w:r>
      <w:r w:rsid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aknade u iznosu od 49.934,25 eura, s</w:t>
      </w:r>
      <w:r w:rsidR="00515D27" w:rsidRP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igurnost plovidbe u iznosu od</w:t>
      </w:r>
      <w:r w:rsid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43,99 eura, s</w:t>
      </w:r>
      <w:r w:rsidR="00515D27" w:rsidRP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tipendije redovitih učenika i studenata pomorskih škola i fakulteta u iznosu od 242.971,86 </w:t>
      </w:r>
      <w:r w:rsid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eura, s</w:t>
      </w:r>
      <w:r w:rsidR="00515D27" w:rsidRP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tipendije redovnih studenata i učenika iz područja unutarnje p</w:t>
      </w:r>
      <w:r w:rsid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lovidbe u iznosu od 2.200 eura, na</w:t>
      </w:r>
      <w:r w:rsidR="00515D27" w:rsidRP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knade za uporabu javnih cesta i cestarine za najteže inval</w:t>
      </w:r>
      <w:r w:rsid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ide u iznosu od 4.536.735,36 eura, s</w:t>
      </w:r>
      <w:r w:rsidR="00515D27" w:rsidRP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ufinanciranje cijene otočnog javnog cestovnog prijevoza u iznosu od 2.848.426,76 </w:t>
      </w:r>
      <w:r w:rsid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 i s</w:t>
      </w:r>
      <w:r w:rsidR="00515D27" w:rsidRP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tipendije i školarine zaposlenicima Ministarstva iz projek</w:t>
      </w:r>
      <w:r w:rsid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ta OPKK u iznosu od 9.350 eura.</w:t>
      </w:r>
    </w:p>
    <w:p w:rsidR="003954D7" w:rsidRPr="001E76EA" w:rsidRDefault="00515D27" w:rsidP="00515D2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S</w:t>
      </w:r>
      <w:r w:rsidRP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tupanjem na snagu Zakona o povlasticama u prometu povećao se broj korisnika koji ostvaruju pravo na besplatno korištenje autocesta i objekata pod naplatom cestarine t</w:t>
      </w:r>
      <w:r w:rsidR="001E76E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e su u 2024. godini rashodi za </w:t>
      </w:r>
      <w:r w:rsidRP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uporabu javnih cesta i cestarine za najteže invalide veći za 1,2 mil</w:t>
      </w:r>
      <w:r w:rsidR="001E76E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 eura</w:t>
      </w:r>
      <w:r w:rsidRP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u odnosu na 2023. godinu</w:t>
      </w:r>
      <w:r w:rsidR="001E76E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 U</w:t>
      </w:r>
      <w:r w:rsidRP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drugoj polovici 2024.</w:t>
      </w:r>
      <w:r w:rsidR="001E76E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godine za sufinanciranje</w:t>
      </w:r>
      <w:r w:rsidRPr="00515D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javne usluge otočnog cestovnog prijevoza sklopljeni su ugovori s 4 županije te su rashodi za javne usluge otočnog cestovnog prijevoza evidentirani u okviru </w:t>
      </w:r>
      <w:r w:rsidR="001E76E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rashoda Pomoći dane u inozemstvo i unutar općeg proračuna.</w:t>
      </w:r>
    </w:p>
    <w:p w:rsidR="00824563" w:rsidRPr="00AB26DE" w:rsidRDefault="00262694" w:rsidP="00824563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62694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 xml:space="preserve">Rashodi </w:t>
      </w:r>
      <w:r w:rsidR="002C4117" w:rsidRPr="00262694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 xml:space="preserve"> </w:t>
      </w:r>
      <w:r w:rsidRPr="00262694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>za donacije, kazne, naknade šteta i kapitalne pomoći</w:t>
      </w:r>
      <w:r>
        <w:rPr>
          <w:rFonts w:ascii="Times New Roman" w:eastAsia="Calibri" w:hAnsi="Times New Roman" w:cs="Times New Roman"/>
          <w:bCs/>
          <w:color w:val="FF0000"/>
          <w:kern w:val="2"/>
          <w:sz w:val="24"/>
          <w:szCs w:val="24"/>
          <w14:ligatures w14:val="standardContextual"/>
        </w:rPr>
        <w:t xml:space="preserve"> </w:t>
      </w:r>
      <w:r w:rsidR="002C4117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su izvršeni u iznosu od </w:t>
      </w:r>
      <w:r w:rsidR="00824563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93.942.525,36</w:t>
      </w:r>
      <w:r w:rsidR="002C4117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ili </w:t>
      </w:r>
      <w:r w:rsidR="00824563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41,5</w:t>
      </w:r>
      <w:r w:rsidR="00793C86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2C4117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% od plana.</w:t>
      </w:r>
      <w:r w:rsidR="00824563" w:rsidRPr="00824563">
        <w:t xml:space="preserve"> </w:t>
      </w:r>
      <w:r w:rsid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U odnosu na 2023. godinu, ovi su rashodi izvršeni </w:t>
      </w:r>
      <w:r w:rsidR="00AB26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manje za </w:t>
      </w:r>
      <w:r w:rsid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132,6. mil. eura</w:t>
      </w:r>
      <w:r w:rsidR="00AB26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r w:rsid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AB26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Manje izvršenje odnosi se na rashode za projekte iz OP Konkurentnost i kohezija, koji su manji za 30,2 mil eura</w:t>
      </w:r>
      <w:r w:rsidR="00824563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u odnosu na 2023. godinu jer je</w:t>
      </w:r>
      <w:r w:rsidR="00AB26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programsko razdoblje završilo</w:t>
      </w:r>
      <w:r w:rsidR="00824563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31.</w:t>
      </w:r>
      <w:r w:rsidR="00AB26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824563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12.</w:t>
      </w:r>
      <w:r w:rsidR="00AB26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824563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2023. i većina projekata je završena ili je u pripremi za faziranje za naredno</w:t>
      </w:r>
      <w:r w:rsidR="00AB26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programsko razdoblje. Također, </w:t>
      </w:r>
      <w:r w:rsidR="00824563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za razvoj infrastrukture širokopojasne mreže u 2024. godini utrošeno je 46,7 mil</w:t>
      </w:r>
      <w:r w:rsid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r w:rsidR="00824563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AB26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="00824563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manje</w:t>
      </w:r>
      <w:r w:rsidR="00AB26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="00824563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budući da je većina projekata realizirana u 2023. godini, a neki projekti su u pripremi za faziranje </w:t>
      </w:r>
      <w:r w:rsidR="00AB26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za naredno programsko razdoblje. Projekti</w:t>
      </w:r>
      <w:r w:rsidR="00824563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iz Nacionalnog plan</w:t>
      </w:r>
      <w:r w:rsidR="00AB26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a za oporavak i otpornost u 2024</w:t>
      </w:r>
      <w:r w:rsidR="00824563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 godini ostvareni su za 70,1 mil</w:t>
      </w:r>
      <w:r w:rsid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r w:rsidR="00824563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AB26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 manje</w:t>
      </w:r>
      <w:r w:rsidR="00824563" w:rsidRPr="0082456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AB26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 odnosu na 2023. godinu.</w:t>
      </w:r>
    </w:p>
    <w:p w:rsidR="00824563" w:rsidRDefault="00824563" w:rsidP="002C4117">
      <w:pPr>
        <w:spacing w:after="0" w:line="276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:rsidR="002C4117" w:rsidRPr="00526082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52608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Rashodi </w:t>
      </w:r>
      <w:r w:rsidR="00951CC5" w:rsidRPr="0052608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z</w:t>
      </w:r>
      <w:r w:rsidRPr="00526082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a nabavu nefinancijske imovine</w:t>
      </w:r>
      <w:r w:rsidRPr="0052608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3928AD" w:rsidRPr="00526082" w:rsidRDefault="003928AD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kern w:val="2"/>
          <w:sz w:val="20"/>
          <w:szCs w:val="20"/>
          <w14:ligatures w14:val="standardContextual"/>
        </w:rPr>
      </w:pPr>
      <w:r w:rsidRPr="00526082">
        <w:rPr>
          <w:rFonts w:ascii="Times New Roman" w:eastAsia="Calibri" w:hAnsi="Times New Roman" w:cs="Times New Roman"/>
          <w:bCs/>
          <w:i/>
          <w:kern w:val="2"/>
          <w:sz w:val="20"/>
          <w:szCs w:val="20"/>
          <w14:ligatures w14:val="standardContextual"/>
        </w:rPr>
        <w:t xml:space="preserve">Tablica 2. Rashodi za nabavu nefinancijske </w:t>
      </w:r>
      <w:r w:rsidR="00526082">
        <w:rPr>
          <w:rFonts w:ascii="Times New Roman" w:eastAsia="Calibri" w:hAnsi="Times New Roman" w:cs="Times New Roman"/>
          <w:bCs/>
          <w:i/>
          <w:kern w:val="2"/>
          <w:sz w:val="20"/>
          <w:szCs w:val="20"/>
          <w14:ligatures w14:val="standardContextual"/>
        </w:rPr>
        <w:t>imovine u 2023. i 2024</w:t>
      </w:r>
      <w:r w:rsidRPr="00526082">
        <w:rPr>
          <w:rFonts w:ascii="Times New Roman" w:eastAsia="Calibri" w:hAnsi="Times New Roman" w:cs="Times New Roman"/>
          <w:bCs/>
          <w:i/>
          <w:kern w:val="2"/>
          <w:sz w:val="20"/>
          <w:szCs w:val="20"/>
          <w14:ligatures w14:val="standardContextual"/>
        </w:rPr>
        <w:t>. godini</w:t>
      </w:r>
    </w:p>
    <w:p w:rsidR="003928AD" w:rsidRPr="005668F3" w:rsidRDefault="00526082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5668F3">
        <w:rPr>
          <w:noProof/>
          <w:lang w:eastAsia="hr-HR"/>
        </w:rPr>
        <w:drawing>
          <wp:inline distT="0" distB="0" distL="0" distR="0">
            <wp:extent cx="6192520" cy="1516129"/>
            <wp:effectExtent l="0" t="0" r="0" b="825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51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8AD" w:rsidRPr="005668F3" w:rsidRDefault="003928AD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5668F3" w:rsidRDefault="00AD41C1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</w:t>
      </w:r>
      <w:r w:rsidR="002C4117" w:rsidRP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3B07BF" w:rsidRP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202</w:t>
      </w:r>
      <w:r w:rsidR="00122B0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4</w:t>
      </w:r>
      <w:r w:rsidR="003B07BF" w:rsidRP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 godini</w:t>
      </w:r>
      <w:r w:rsidR="002C4117" w:rsidRP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su rashodi na nabavu nefinancijske imovine izvršeni u iznosu od </w:t>
      </w:r>
      <w:r w:rsidR="005668F3" w:rsidRP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10.050.232,49</w:t>
      </w:r>
      <w:r w:rsidR="002C4117" w:rsidRP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</w:t>
      </w:r>
      <w:r w:rsidR="00793C86" w:rsidRP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="002C4117" w:rsidRP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što predstavlja </w:t>
      </w:r>
      <w:r w:rsidR="005668F3" w:rsidRP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73,9</w:t>
      </w:r>
      <w:r w:rsidR="00793C86" w:rsidRP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2C4117" w:rsidRP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% od planiranih sredstava. U odnosu na isto razdoblje prethodne godine </w:t>
      </w:r>
      <w:r w:rsidR="005668F3" w:rsidRP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smanjeni</w:t>
      </w:r>
      <w:r w:rsidR="002C4117" w:rsidRP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su </w:t>
      </w:r>
      <w:r w:rsidR="005668F3" w:rsidRPr="0049166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18,6</w:t>
      </w:r>
      <w:r w:rsidR="00793C86" w:rsidRPr="0049166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2C4117" w:rsidRPr="0049166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%</w:t>
      </w:r>
      <w:r w:rsidR="00793C86" w:rsidRPr="0049166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="002C4117" w:rsidRPr="0049166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2C4117" w:rsidRP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odnosno za </w:t>
      </w:r>
      <w:r w:rsid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2.302.167,89 eura</w:t>
      </w:r>
      <w:r w:rsidR="002C4117" w:rsidRPr="005668F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</w:p>
    <w:p w:rsidR="00C70A22" w:rsidRPr="000F2E31" w:rsidRDefault="002C4117" w:rsidP="00C70A22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0F2E31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>Rashodi za nabavu neproizvedene dugotrajne imovine</w:t>
      </w:r>
      <w:r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793C86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izvršeni</w:t>
      </w:r>
      <w:r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su</w:t>
      </w:r>
      <w:r w:rsidR="00793C86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u iznosu od</w:t>
      </w:r>
      <w:r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C70A22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653.395,05</w:t>
      </w:r>
      <w:r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ili </w:t>
      </w:r>
      <w:r w:rsidR="00C70A22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49</w:t>
      </w:r>
      <w:r w:rsidR="006B1D72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,3</w:t>
      </w:r>
      <w:r w:rsidR="00793C86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% plana, a odnose se </w:t>
      </w:r>
      <w:r w:rsidR="006B1D72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na</w:t>
      </w:r>
      <w:r w:rsidR="000F2E31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:</w:t>
      </w:r>
      <w:r w:rsidR="006B1D72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C70A22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Studijsko-projektnu dokumentaciju za Koncept uspostave riječne plovidbe s pratećom infrastrukturom na rijeci Zrmanji od Obrovca do Jankovića buka u okviru aktivnosti Priprema projekata i planskih dokumenata u unutarnjoj plovidbi (u iznosu od 32.375 eura), </w:t>
      </w:r>
      <w:r w:rsidR="000F2E31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nabavu Microsoft licence za sigurnosnu pohranu podataka i licence za preklopnike u okviru projekta </w:t>
      </w:r>
      <w:r w:rsidR="00C70A22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Informatizacij</w:t>
      </w:r>
      <w:r w:rsidR="000F2E31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a</w:t>
      </w:r>
      <w:r w:rsidR="00C70A22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(u iznosu od 129.952,80 eura), </w:t>
      </w:r>
      <w:r w:rsidR="000F2E31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nabavu glavnog projekta uređenja prometnih površina te vodoopskrbnog cjevovoda oko poslovne zgrade Kockica te glavnog projekta za smanjenje potrošnje energije i povećanje korištenja energije iz obnovljivih izvora energije u okviru projekta </w:t>
      </w:r>
      <w:r w:rsidR="00C70A22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Rekonstrukcij</w:t>
      </w:r>
      <w:r w:rsidR="000F2E31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a</w:t>
      </w:r>
      <w:r w:rsidR="00C70A22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 obnov</w:t>
      </w:r>
      <w:r w:rsidR="000F2E31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a</w:t>
      </w:r>
      <w:r w:rsidR="00C70A22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i održavanje poslovnih zgrada (u iznosu od 31.036,71 eura) i </w:t>
      </w:r>
      <w:r w:rsidR="000F2E31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na završetak monitoringa hidroloških, hidrauličkih i morfoloških karakteristika rijeke Dunav te inventarizaciju sastavnica bioraznolikosti na hrvatsko-srpskom sektoru rijeke Dunav u sklopu projekta</w:t>
      </w:r>
      <w:r w:rsidR="00C70A22" w:rsidRPr="000F2E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CEF 2014.-2020.-Priprema FAIRway2 radova na Rajna-Dunav koridoru (u iznosu od 460.030,54 eura).</w:t>
      </w:r>
    </w:p>
    <w:p w:rsid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9863C1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>Rashodi za nabavu proizvedene dugotrajne imovine</w:t>
      </w:r>
      <w:r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793C86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izvršeni</w:t>
      </w:r>
      <w:r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su</w:t>
      </w:r>
      <w:r w:rsidR="00793C86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u iznosu od </w:t>
      </w:r>
      <w:r w:rsidR="009863C1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9.109.060,84</w:t>
      </w:r>
      <w:r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ili </w:t>
      </w:r>
      <w:r w:rsidR="009863C1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80,3</w:t>
      </w:r>
      <w:r w:rsidR="00793C86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% plana.</w:t>
      </w:r>
      <w:r w:rsidR="00CE030F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9863C1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 odnosu na isto razdoblje 2023</w:t>
      </w:r>
      <w:r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 godine</w:t>
      </w:r>
      <w:r w:rsidR="00793C86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, </w:t>
      </w:r>
      <w:r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rashodi su </w:t>
      </w:r>
      <w:r w:rsidR="009863C1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smanjeni</w:t>
      </w:r>
      <w:r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za </w:t>
      </w:r>
      <w:r w:rsidR="009863C1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2.123.455,46</w:t>
      </w:r>
      <w:r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</w:t>
      </w:r>
      <w:r w:rsidR="00793C86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odnosno za </w:t>
      </w:r>
      <w:r w:rsidR="009863C1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18,9</w:t>
      </w:r>
      <w:r w:rsidR="00793C86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%.</w:t>
      </w:r>
      <w:r w:rsidR="00CE030F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Najznačajniji iznos ovih rashoda, odnosno </w:t>
      </w:r>
      <w:r w:rsidR="009863C1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4.478.231,05</w:t>
      </w:r>
      <w:r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eura, utrošeno je za </w:t>
      </w:r>
      <w:r w:rsidR="009863C1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izgradnju 5 stakloplastičnih </w:t>
      </w:r>
      <w:r w:rsidR="002F433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i 5 gumenih </w:t>
      </w:r>
      <w:r w:rsidR="002F4330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brodica </w:t>
      </w:r>
      <w:r w:rsidR="009863C1" w:rsidRPr="009863C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za traganje i spašavanje </w:t>
      </w:r>
      <w:r w:rsidR="002F433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 okviru projekta Obnova SAR flote lučkih kapetanija te 1.008.275,72 eura za nadogradnju aplikacija novim funkcionalnostima u okviru aktivnosti Sigurnost plovidbe.</w:t>
      </w:r>
    </w:p>
    <w:p w:rsidR="00DB5B27" w:rsidRDefault="00DB5B2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9863C1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 xml:space="preserve">Rashodi za </w:t>
      </w:r>
      <w:r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 xml:space="preserve">dodatna ulaganja na nefinancijskoj imovini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utrošeni su u iznosu od 287.776,60 eura, a odnose se na dodatna ulaganja na poslovnoj zgradi Lučke ispostave Poreč, na izgradnju sunčane elektrane na poslovnoj zgradi Kockica te na ugradnju novog pogonskog motora na jednom gliseru.</w:t>
      </w:r>
    </w:p>
    <w:p w:rsidR="00DB5B27" w:rsidRDefault="00DB5B2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2C4117" w:rsidRPr="006E29C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6E29C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PRIMICI</w:t>
      </w:r>
    </w:p>
    <w:p w:rsidR="002C4117" w:rsidRPr="006E29C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6E29C7" w:rsidRDefault="006E29C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6E29C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 2024. godini u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plaćena je prva tranša zajma 95</w:t>
      </w:r>
      <w:r w:rsidRPr="006E29C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797 EIB-a za projekt Revitalizacija željezničkog sustava u Republici Hrvatskoj u iznosu od 108.500.000 eura. Ugovor o financiranju je potpisan 22. siječnja 2024. godine između Republike Hrvatske i Europske investicijske banke (EIB), a uplata I tranše zajma izvršena je 29. 07. 2024.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godine.</w:t>
      </w:r>
    </w:p>
    <w:p w:rsidR="002C4117" w:rsidRPr="00F1405B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F1405B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1405B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IZDACI</w:t>
      </w:r>
    </w:p>
    <w:p w:rsidR="002C4117" w:rsidRPr="00F1405B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4E4DA4" w:rsidRPr="00F1405B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Izdaci Ministarstva za financijsku imovinu i otplatu zajmova u </w:t>
      </w:r>
      <w:r w:rsidR="00990F65"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202</w:t>
      </w:r>
      <w:r w:rsidR="00F1405B"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4</w:t>
      </w:r>
      <w:r w:rsidR="00990F65"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 godini</w:t>
      </w:r>
      <w:r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iznose </w:t>
      </w:r>
      <w:r w:rsidR="00F1405B"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720.749,60</w:t>
      </w:r>
      <w:r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ili </w:t>
      </w:r>
      <w:r w:rsidR="00F1405B"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99,8</w:t>
      </w:r>
      <w:r w:rsidR="00793C86"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% od plana, a odnose se na</w:t>
      </w:r>
      <w:r w:rsidR="005E6F31"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provedbu Ugovora o konc</w:t>
      </w:r>
      <w:r w:rsidR="005E6F31"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esiji - Autocesta Zagreb-Macelj, temeljem kojeg se k</w:t>
      </w:r>
      <w:r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oncesionaru Autocesta Zagreb-Macelj d.o.o. nadoknađuje razlika prognoziranih prihoda i rashoda</w:t>
      </w:r>
      <w:r w:rsidR="00F1581E"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 odnosno</w:t>
      </w:r>
      <w:r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stvar</w:t>
      </w:r>
      <w:r w:rsidR="00F1581E"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no ostvarenih prihoda i rashoda</w:t>
      </w:r>
      <w:r w:rsidR="00F1405B" w:rsidRPr="00F1405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</w:p>
    <w:p w:rsidR="00F1405B" w:rsidRPr="00F1405B" w:rsidRDefault="00F1405B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4E4DA4" w:rsidRPr="00E501E0" w:rsidRDefault="004E4DA4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E501E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STANJE NOVČANIH SREDSTAVA NA RAČ</w:t>
      </w:r>
      <w:r w:rsidR="00F1405B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UNIMA NA POČETKU I NA KRAJU 2024</w:t>
      </w:r>
      <w:r w:rsidRPr="00E501E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 GODINE</w:t>
      </w:r>
    </w:p>
    <w:p w:rsidR="002C4117" w:rsidRPr="00E501E0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E92680" w:rsidRPr="00E501E0" w:rsidRDefault="00E92680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E501E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Ministarstvo mora, prometa i infrastrukture nema otvorene račune u poslovnim bankama jer posluje preko jedinstvenog računa Državne riznice otvorenog u Hrvatskoj narodnoj banci.</w:t>
      </w:r>
    </w:p>
    <w:p w:rsidR="004E4DA4" w:rsidRPr="00A37209" w:rsidRDefault="004E4DA4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A37209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A3720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OBRAZLOŽENJE OSTVARENOG PRIJENOSA SREDSTAVA IZ </w:t>
      </w:r>
      <w:r w:rsidR="00A37209" w:rsidRPr="00A3720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2023</w:t>
      </w:r>
      <w:r w:rsidR="004E4DA4" w:rsidRPr="00A3720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Pr="00A3720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GODINE I</w:t>
      </w:r>
      <w:r w:rsidR="00935753" w:rsidRPr="00A3720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PRIJENOSA SREDSTAVA U </w:t>
      </w:r>
      <w:r w:rsidR="00A37209" w:rsidRPr="00A3720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2024</w:t>
      </w:r>
      <w:r w:rsidR="004E4DA4" w:rsidRPr="00A3720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935753" w:rsidRPr="00A37209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GODINU</w:t>
      </w:r>
    </w:p>
    <w:p w:rsidR="002C4117" w:rsidRPr="00A37209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A37209" w:rsidRDefault="003174F6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A3720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Os</w:t>
      </w:r>
      <w:r w:rsidR="00A37209" w:rsidRPr="00A3720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tvareni</w:t>
      </w:r>
      <w:r w:rsidRPr="00A3720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prijenos sredstava </w:t>
      </w:r>
      <w:r w:rsidR="00A37209" w:rsidRPr="00A3720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iz 2023. u 2024</w:t>
      </w:r>
      <w:r w:rsidR="002C4117" w:rsidRPr="00A3720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. godinu iznosi </w:t>
      </w:r>
      <w:r w:rsidR="00A37209" w:rsidRPr="00A3720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7.498.516,73 eura, a odnosi</w:t>
      </w:r>
      <w:r w:rsidR="002C4117" w:rsidRPr="00A3720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se na:</w:t>
      </w:r>
    </w:p>
    <w:p w:rsidR="002C4117" w:rsidRPr="00EF5DC8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- vlastite prihode od pruženih usluga u iznosu od </w:t>
      </w:r>
      <w:r w:rsidR="00EF5DC8"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17.719,36</w:t>
      </w:r>
      <w:r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eura, a </w:t>
      </w:r>
      <w:r w:rsidR="003174F6"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utrošena su u iznosu od </w:t>
      </w:r>
      <w:r w:rsidR="00EF5DC8"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36.422,92</w:t>
      </w:r>
      <w:r w:rsidR="003174F6"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za </w:t>
      </w:r>
      <w:r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usluge tekućeg i investicijskog održavanja poslovnih zgrada Ministarstva </w:t>
      </w:r>
      <w:r w:rsid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i za povrat neprihvatljivih troškova financiranih iz EU sredstava</w:t>
      </w:r>
    </w:p>
    <w:p w:rsidR="002C4117" w:rsidRPr="00EF5DC8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-</w:t>
      </w:r>
      <w:r w:rsidRPr="00EF5DC8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ostale prihode za posebne namjene u iznosu od </w:t>
      </w:r>
      <w:r w:rsidR="00EF5DC8"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4.774.037,28</w:t>
      </w:r>
      <w:r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eura, koji se odnose na naknade za sigurnost plovidbe koja se plaća za strane jahte i brodice i na naknadu od izo</w:t>
      </w:r>
      <w:r w:rsidR="003174F6"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brazbe pomoraca i nautičara, a utrošena su u iznosu od </w:t>
      </w:r>
      <w:r w:rsidR="00EF5DC8"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3.898.785,89</w:t>
      </w:r>
      <w:r w:rsidR="003174F6"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za </w:t>
      </w:r>
      <w:r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obnovu i održavanje brodova i brodica lučkih kapetanija i sustava nadzora i upravljanja pomorskim prometom (VTS sustav)</w:t>
      </w:r>
      <w:r w:rsidR="00B649D3"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te za </w:t>
      </w:r>
      <w:r w:rsidR="00EF5DC8" w:rsidRPr="00EF5DC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ulaganja u računalne programe sigurnosti plovidbe</w:t>
      </w:r>
    </w:p>
    <w:p w:rsidR="002C4117" w:rsidRPr="00D11212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D1121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-pomoći EU, koj</w:t>
      </w:r>
      <w:r w:rsidR="00951CC5" w:rsidRPr="00D1121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</w:t>
      </w:r>
      <w:r w:rsidR="003174F6" w:rsidRPr="00D1121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se odnose na tekuće i</w:t>
      </w:r>
      <w:r w:rsidRPr="00D1121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kapitalne pomoći od institucija i tijela EU,</w:t>
      </w:r>
      <w:r w:rsidRPr="00D11212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D1121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u iznosu od </w:t>
      </w:r>
      <w:r w:rsidR="00EF5DC8" w:rsidRPr="00D1121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2.291.225,19</w:t>
      </w:r>
      <w:r w:rsidRPr="00D1121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eura, a </w:t>
      </w:r>
      <w:r w:rsidR="003174F6" w:rsidRPr="00D1121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utrošena su za </w:t>
      </w:r>
      <w:r w:rsidRPr="00D1121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troškove plaća i doprinosa članova projektnih timova, materijalne rashode</w:t>
      </w:r>
      <w:r w:rsidR="00D11212" w:rsidRPr="00D1121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 službena putovanja</w:t>
      </w:r>
      <w:r w:rsidRPr="00D1121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i rashode za usluge u okviru EU projekata</w:t>
      </w:r>
      <w:r w:rsidR="003174F6" w:rsidRPr="00D1121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u iznosu od </w:t>
      </w:r>
      <w:r w:rsidR="00D1121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3.133.673,73</w:t>
      </w:r>
      <w:r w:rsidR="003174F6" w:rsidRPr="00D1121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</w:t>
      </w:r>
    </w:p>
    <w:p w:rsidR="002C4117" w:rsidRPr="002C5031" w:rsidRDefault="002C4117" w:rsidP="00793C8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C50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-ostale pomoći, koj</w:t>
      </w:r>
      <w:r w:rsidR="00951CC5" w:rsidRPr="002C50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</w:t>
      </w:r>
      <w:r w:rsidR="00B649D3" w:rsidRPr="002C50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se odnose na tekuće i </w:t>
      </w:r>
      <w:r w:rsidRPr="002C50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kapitalne prijenose između proračunskih korisnika istog proračuna, </w:t>
      </w:r>
      <w:r w:rsidR="00793C86" w:rsidRPr="002C50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u iznosu od </w:t>
      </w:r>
      <w:r w:rsidR="002C5031" w:rsidRPr="002C50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383.381,15</w:t>
      </w:r>
      <w:r w:rsidR="00793C86" w:rsidRPr="002C50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eura, a </w:t>
      </w:r>
      <w:r w:rsidR="003174F6" w:rsidRPr="002C50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utrošena su u iznosu od </w:t>
      </w:r>
      <w:r w:rsidR="002C5031" w:rsidRPr="002C50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674.183,59</w:t>
      </w:r>
      <w:r w:rsidR="003174F6" w:rsidRPr="002C50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</w:t>
      </w:r>
      <w:r w:rsidR="002C5031" w:rsidRPr="002C50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a</w:t>
      </w:r>
    </w:p>
    <w:p w:rsidR="00793C86" w:rsidRPr="000C678C" w:rsidRDefault="00793C86" w:rsidP="009A641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u w:val="single"/>
          <w14:ligatures w14:val="standardContextual"/>
        </w:rPr>
      </w:pPr>
      <w:r w:rsidRPr="002C50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-donacije u iznosu od </w:t>
      </w:r>
      <w:r w:rsidR="00E549CE" w:rsidRPr="002C50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32.153,75</w:t>
      </w:r>
      <w:r w:rsidRPr="002C50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</w:t>
      </w:r>
      <w:r w:rsidR="00097304" w:rsidRPr="002C503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za izgradnju izložbene prostorije na Pelješkom mostu</w:t>
      </w:r>
      <w:r w:rsidR="002471A5" w:rsidRPr="000C678C">
        <w:rPr>
          <w:rFonts w:ascii="Times New Roman" w:eastAsia="Calibri" w:hAnsi="Times New Roman" w:cs="Times New Roman"/>
          <w:b/>
          <w:bCs/>
          <w:color w:val="FF0000"/>
          <w:kern w:val="2"/>
          <w:sz w:val="24"/>
          <w:szCs w:val="24"/>
          <w:u w:val="single"/>
          <w14:ligatures w14:val="standardContextual"/>
        </w:rPr>
        <w:br w:type="page"/>
      </w:r>
    </w:p>
    <w:p w:rsidR="002C4117" w:rsidRPr="00FC66FA" w:rsidRDefault="00606EDA" w:rsidP="00606ED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FC66FA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POSEBNI IZVJEŠTAJI</w:t>
      </w:r>
    </w:p>
    <w:p w:rsidR="00606EDA" w:rsidRPr="00FC66FA" w:rsidRDefault="00606EDA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3D33E0" w:rsidRPr="00FC66FA" w:rsidRDefault="003D33E0" w:rsidP="003D33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FC66F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IZVJEŠTAJ O ZADUŽIVANJU NA DOMAĆEM I STRANOM TRŽIŠTU NOVCA I KAPITALA</w:t>
      </w:r>
    </w:p>
    <w:p w:rsidR="00606EDA" w:rsidRPr="00FC66FA" w:rsidRDefault="00606EDA" w:rsidP="003D33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3D33E0" w:rsidRPr="00FC66FA" w:rsidRDefault="00FC66FA" w:rsidP="003D33E0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C66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Ministarstvo se u 2024</w:t>
      </w:r>
      <w:r w:rsidR="003D33E0" w:rsidRPr="00FC66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 godini nije zaduživalo na domaćem i stranom tržištu novca i kapitala.</w:t>
      </w:r>
    </w:p>
    <w:p w:rsidR="003D33E0" w:rsidRPr="00FC66FA" w:rsidRDefault="003D33E0" w:rsidP="003D33E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3D33E0" w:rsidRPr="009065E7" w:rsidRDefault="00EB7D40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9065E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IZVJEŠTAJ O KORIŠTENJU SREDSTAVA FONDOVA EUROPSKE UNIJE</w:t>
      </w:r>
    </w:p>
    <w:p w:rsidR="00EB7D40" w:rsidRPr="006A2096" w:rsidRDefault="00EB7D40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B67D04" w:rsidRPr="006A2096" w:rsidRDefault="00D34BF1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D34BF1">
        <w:rPr>
          <w:noProof/>
          <w:lang w:eastAsia="hr-HR"/>
        </w:rPr>
        <w:drawing>
          <wp:inline distT="0" distB="0" distL="0" distR="0">
            <wp:extent cx="6192520" cy="2641822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64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D40" w:rsidRDefault="00EB7D40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065E7" w:rsidRPr="009065E7" w:rsidRDefault="009065E7" w:rsidP="009065E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9065E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 tablici su iskazana ugovorena EU sredstva u okviru provedbe OPKK 2014-2020 (prioritetna os 7, specifični cilj 2a1), FSEU, NPOO, PKK 2021.-2027., dodijeljena sredstva Tehničke pomoći u okviru PKK 2021.-2027.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Pr="009065E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te podaci o izvršenju proračunskih aktivnosti po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svakom </w:t>
      </w:r>
      <w:r w:rsidRPr="009065E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fondu EU za 2024. iz nadležnosti Uprave za EU fondove i strateško planiranje. Tablica ne sadrži podatke o ugovorenim i izvršenim sredstvima u slučaju kada su korisnici bespovratnih sredstava lučke uprave koje su proračun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ski korisnik Državnog proračuna</w:t>
      </w:r>
      <w:r w:rsidRPr="009065E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te samostalno planiraju i izvršavaju sredstva za EU projekte. Tablica ne sadrži podatke vezano uz korištenje sredstava tehničke pomoći iz CEF instrumenta (izvor financiranja 51).</w:t>
      </w:r>
    </w:p>
    <w:p w:rsidR="009065E7" w:rsidRPr="009065E7" w:rsidRDefault="009065E7" w:rsidP="009065E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9065E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Ugovorena EU sredstva za OPKK p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rioritetna os</w:t>
      </w:r>
      <w:r w:rsidRPr="009065E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7</w:t>
      </w:r>
      <w:r w:rsidR="004148D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Povezanost i mobilnost (p.o.7)</w:t>
      </w:r>
      <w:r w:rsidRPr="009065E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i s</w:t>
      </w:r>
      <w:r w:rsidR="004148D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pecifični </w:t>
      </w:r>
      <w:r w:rsidRPr="009065E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c</w:t>
      </w:r>
      <w:r w:rsidR="004148D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ilj </w:t>
      </w:r>
      <w:r w:rsidRPr="009065E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2a1</w:t>
      </w:r>
      <w:r w:rsidR="004148D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Razvoj infrastrukture širokopojasne mreže sljedeće generacije (s.c.2a1)</w:t>
      </w:r>
      <w:r w:rsidRPr="009065E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su umanjena u odnosu na prethodnu godinu, obzirom na faziranje pojedinih projekata koji su nastavili provedbu kroz PKK 2021.-2027. te je vrijednost ugovorene 1. faze projekta iz OPKK smanjena sukladno stvarnoj realizaciji projekta do 31.12.2023.</w:t>
      </w:r>
    </w:p>
    <w:p w:rsidR="009065E7" w:rsidRPr="006A2096" w:rsidRDefault="009065E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EB7D40" w:rsidRPr="006A2096" w:rsidRDefault="00EB7D40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6A2096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IZVJEŠTAJ O DANIM ZAJMOVIMA I POTRAŽIVANJIMA PO DANIM ZAJMOVIMA</w:t>
      </w:r>
    </w:p>
    <w:p w:rsidR="00EB7D40" w:rsidRPr="006A2096" w:rsidRDefault="00EB7D40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4169A" w:rsidRPr="006A2096" w:rsidRDefault="0094169A" w:rsidP="0094169A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Potraživanje za dane zajmove na dan 31. 12. 2023. godine: </w:t>
      </w:r>
    </w:p>
    <w:p w:rsidR="0094169A" w:rsidRPr="006A2096" w:rsidRDefault="0094169A" w:rsidP="0094169A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- Autocesta Zagreb-Macelj (Shareholder loan)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  <w:t xml:space="preserve">  9.246.300,00 eura</w:t>
      </w:r>
    </w:p>
    <w:p w:rsidR="0094169A" w:rsidRPr="006A2096" w:rsidRDefault="0094169A" w:rsidP="0094169A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- Autocesta Zagreb-Macelj-TSCA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  <w:t>44.938.217,99 eura</w:t>
      </w:r>
    </w:p>
    <w:p w:rsidR="0094169A" w:rsidRPr="006A2096" w:rsidRDefault="0094169A" w:rsidP="0094169A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- Croatia Airlines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  <w:t>78.837.348,19 eura</w:t>
      </w:r>
    </w:p>
    <w:p w:rsidR="0094169A" w:rsidRPr="006A2096" w:rsidRDefault="0094169A" w:rsidP="0094169A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u w:val="single"/>
          <w14:ligatures w14:val="standardContextual"/>
        </w:rPr>
      </w:pP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:u w:val="single"/>
          <w14:ligatures w14:val="standardContextual"/>
        </w:rPr>
        <w:t>- Pružne građevine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:u w:val="single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:u w:val="single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:u w:val="single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:u w:val="single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:u w:val="single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:u w:val="single"/>
          <w14:ligatures w14:val="standardContextual"/>
        </w:rPr>
        <w:tab/>
        <w:t>14.600.000,00 eura</w:t>
      </w:r>
    </w:p>
    <w:p w:rsidR="0094169A" w:rsidRPr="006A2096" w:rsidRDefault="0094169A" w:rsidP="0094169A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Ukupno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  <w:t xml:space="preserve">          147.621.866,18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  <w:t>eura</w:t>
      </w:r>
    </w:p>
    <w:p w:rsidR="0094169A" w:rsidRPr="006A2096" w:rsidRDefault="0094169A" w:rsidP="0094169A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94169A" w:rsidRPr="006A2096" w:rsidRDefault="0094169A" w:rsidP="0094169A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 2024. godini Autocesta Zagreb-Macelj je po koncesijskom ugovoru vratila isplaćen doprinos za pad prometa u 2023. godini u iznosu od 714.915 eura i doprinos za pad prometa isplaćen u 2024. godini u iznosu od 720.749,60 eura.</w:t>
      </w:r>
    </w:p>
    <w:p w:rsidR="0094169A" w:rsidRPr="006A2096" w:rsidRDefault="0094169A" w:rsidP="0094169A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Odlukom Vlade RH o dopuni Odluke o stvaranju prethodno potrebnih uvjeta osiguranja postupka dokapitalizacije društva Croatia Airlines d.d., od 30. 1. 2020. godine, definirano je da će se sredstva </w:t>
      </w:r>
      <w:r w:rsidR="006A2096"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ranije 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isplaćenog predujma </w:t>
      </w:r>
      <w:r w:rsidR="006A2096"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društvu Croatia Airlines d.d. 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tretirati kao zajam dioničara te da će Ministarstvo u svojim knjigovodstvenim evidencijama iskazati potraživanje po danom zajmu u ukupnom iznosu od 33.180.702,10 eura</w:t>
      </w:r>
      <w:r w:rsidR="006A2096"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(13.272.280,84 eura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je u 2019. godini isplatilo Ministarstvo financija). Društvo Croatia Airlines je zatražilo i dobilo produženje roka za povrat danog zajma.</w:t>
      </w:r>
    </w:p>
    <w:p w:rsidR="0094169A" w:rsidRPr="006A2096" w:rsidRDefault="0094169A" w:rsidP="0094169A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Temeljem ugovora o zajmu od 30. lipnja 2022. godine Ministarstvo je Croatia Airlines d.d. 21. 11. 2022. godine isplatilo 12.475.943,99 </w:t>
      </w:r>
      <w:r w:rsidR="006A2096"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zajma za osiguranje nužne financijske stabilnosti i likvidnosti društva uslijed krize uzrokovane pandemijom COVID-19. Zajam je dodijeljen u skladu s privremenim okvirom Europske komisije za državne potpore radi podrške gospodarstvu u aktualnoj pandemiji COVID-19.</w:t>
      </w:r>
    </w:p>
    <w:p w:rsidR="0094169A" w:rsidRPr="006A2096" w:rsidRDefault="0094169A" w:rsidP="0094169A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Ministarstvo financija je 23.12.2020. godine Croatia Airlines d.d. isplatilo zajam za osiguranje nužne financijske stabilizacije i likvidnosti društva uslijed krize uzrokovane pandemijom COVID-19 u iznosu od 33.180.702,10 </w:t>
      </w:r>
      <w:r w:rsidR="006A2096"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 Zajam je kao potraživanje bio iskazan u knjigovodstvenoj evidenciji Ministarstva financija. Ministarstvo financija je s danom 31.10.2024. iz svoje knjigovodstvene evidencije isknjižilo p</w:t>
      </w:r>
      <w:r w:rsidR="006A2096"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otraživanje za isplaćeni zajam društvu 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Croatia Airlines d.d. i obvezalo Ministarstvo mora, prometa i infrastrukture da navedeno potraživanje evidentira u svojoj knjigovodstvenoj evidenciji.</w:t>
      </w:r>
    </w:p>
    <w:p w:rsidR="00B67D04" w:rsidRPr="006A2096" w:rsidRDefault="0094169A" w:rsidP="0094169A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Temeljem Odluke Vlade RH o odobrenju državne potpore za sanaciju društva  Pružne građevine d.o.o. od 9. studenog 2023. godine, društvu je dan kratkoročni zajam za osiguranje likvidnosti zbog teškoća u poslovanju u iznosu od 14.600.000,0</w:t>
      </w:r>
      <w:r w:rsidR="006A2096"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0 eura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 Rok za vraćanje zajma je bio 23.</w:t>
      </w:r>
      <w:r w:rsidR="006A2096"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05.</w:t>
      </w:r>
      <w:r w:rsidR="006A2096"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2024.</w:t>
      </w:r>
      <w:r w:rsidR="006A2096"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godine, no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Društvo ni</w:t>
      </w:r>
      <w:r w:rsidR="006A2096"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je izvršilo povrat zajma u roku</w:t>
      </w:r>
      <w:r w:rsidRP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te se očekuje da će zajam biti vraćen u 2025. godini.</w:t>
      </w:r>
    </w:p>
    <w:p w:rsidR="00EB7D40" w:rsidRPr="006A2096" w:rsidRDefault="00EB7D40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EB7D40" w:rsidRPr="006A2096" w:rsidRDefault="00EB7D40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6A2096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IZVJEŠTAJ O STANJU POTRAŽIVANJA </w:t>
      </w:r>
      <w:r w:rsidR="00ED0A3B" w:rsidRPr="006A2096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I </w:t>
      </w:r>
      <w:r w:rsidRPr="006A2096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DOSPJELIH OBVEZA TE O STANJU POTENCIJALNIH OBVEZA PO OSNOVI SUDSKIH SPOROVA</w:t>
      </w:r>
    </w:p>
    <w:p w:rsidR="00EB7D40" w:rsidRPr="006A2096" w:rsidRDefault="00EB7D40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E1BEA" w:rsidRDefault="007C4AEA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E3696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Stanje</w:t>
      </w:r>
      <w:r w:rsidR="009E1BEA" w:rsidRPr="00E3696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nenaplaćenih potraživanja za prihode</w:t>
      </w:r>
      <w:r w:rsidRPr="00E3696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na dan 31. </w:t>
      </w:r>
      <w:r w:rsidR="00E3696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12. 2024</w:t>
      </w:r>
      <w:r w:rsidRPr="00E3696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 godine</w:t>
      </w:r>
    </w:p>
    <w:p w:rsidR="00B5707C" w:rsidRPr="00B5707C" w:rsidRDefault="00B5707C" w:rsidP="00B5707C">
      <w:pPr>
        <w:spacing w:after="0" w:line="276" w:lineRule="auto"/>
        <w:jc w:val="right"/>
        <w:rPr>
          <w:rFonts w:ascii="Times New Roman" w:eastAsia="Calibri" w:hAnsi="Times New Roman" w:cs="Times New Roman"/>
          <w:bCs/>
          <w:kern w:val="2"/>
          <w:sz w:val="18"/>
          <w:szCs w:val="18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18"/>
          <w:szCs w:val="18"/>
          <w14:ligatures w14:val="standardContextual"/>
        </w:rPr>
        <w:t>~stanje u eurima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25"/>
        <w:gridCol w:w="2517"/>
      </w:tblGrid>
      <w:tr w:rsidR="000C678C" w:rsidRPr="00B5707C" w:rsidTr="009E1BEA">
        <w:tc>
          <w:tcPr>
            <w:tcW w:w="7225" w:type="dxa"/>
            <w:shd w:val="clear" w:color="auto" w:fill="D9E2F3" w:themeFill="accent5" w:themeFillTint="33"/>
          </w:tcPr>
          <w:p w:rsidR="009E1BEA" w:rsidRPr="00B5707C" w:rsidRDefault="009E1BEA" w:rsidP="009E1B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</w:p>
          <w:p w:rsidR="009E1BEA" w:rsidRPr="00B5707C" w:rsidRDefault="009E1BEA" w:rsidP="009E1B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Vrsta potraživanja</w:t>
            </w:r>
          </w:p>
        </w:tc>
        <w:tc>
          <w:tcPr>
            <w:tcW w:w="2517" w:type="dxa"/>
            <w:shd w:val="clear" w:color="auto" w:fill="D9E2F3" w:themeFill="accent5" w:themeFillTint="33"/>
          </w:tcPr>
          <w:p w:rsidR="009E1BEA" w:rsidRPr="00B5707C" w:rsidRDefault="009E1BEA" w:rsidP="009E1B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Stanje nenaplaćeni</w:t>
            </w:r>
            <w:r w:rsidR="00E3696E" w:rsidRPr="00B5707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h potraživanja na dan 31.12.2024</w:t>
            </w:r>
            <w:r w:rsidRPr="00B5707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</w:tr>
      <w:tr w:rsidR="000C678C" w:rsidRPr="00B5707C" w:rsidTr="009E1BEA">
        <w:tc>
          <w:tcPr>
            <w:tcW w:w="7225" w:type="dxa"/>
          </w:tcPr>
          <w:p w:rsidR="009E1BEA" w:rsidRPr="00B5707C" w:rsidRDefault="009E1BEA" w:rsidP="002C41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hAnsi="Times New Roman" w:cs="Times New Roman"/>
                <w:sz w:val="20"/>
                <w:szCs w:val="20"/>
              </w:rPr>
              <w:t>Potraživanja za pomoći iz inozemstva</w:t>
            </w:r>
          </w:p>
        </w:tc>
        <w:tc>
          <w:tcPr>
            <w:tcW w:w="2517" w:type="dxa"/>
          </w:tcPr>
          <w:p w:rsidR="009E1BEA" w:rsidRPr="00B5707C" w:rsidRDefault="00B5707C" w:rsidP="009E1B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537.803,90</w:t>
            </w:r>
          </w:p>
        </w:tc>
      </w:tr>
      <w:tr w:rsidR="00B5707C" w:rsidRPr="00B5707C" w:rsidTr="009E1BEA">
        <w:tc>
          <w:tcPr>
            <w:tcW w:w="7225" w:type="dxa"/>
          </w:tcPr>
          <w:p w:rsidR="00B5707C" w:rsidRPr="00B5707C" w:rsidRDefault="00B5707C" w:rsidP="002C411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07C">
              <w:rPr>
                <w:rFonts w:ascii="Times New Roman" w:hAnsi="Times New Roman" w:cs="Times New Roman"/>
                <w:sz w:val="20"/>
                <w:szCs w:val="20"/>
              </w:rPr>
              <w:t>Potraživanja za zatezne kamate</w:t>
            </w:r>
          </w:p>
        </w:tc>
        <w:tc>
          <w:tcPr>
            <w:tcW w:w="2517" w:type="dxa"/>
          </w:tcPr>
          <w:p w:rsidR="00B5707C" w:rsidRPr="00B5707C" w:rsidRDefault="00B5707C" w:rsidP="009E1B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642,838,80</w:t>
            </w:r>
          </w:p>
        </w:tc>
      </w:tr>
      <w:tr w:rsidR="000C678C" w:rsidRPr="00B5707C" w:rsidTr="009E1BEA">
        <w:tc>
          <w:tcPr>
            <w:tcW w:w="7225" w:type="dxa"/>
          </w:tcPr>
          <w:p w:rsidR="009E1BEA" w:rsidRPr="00B5707C" w:rsidRDefault="009E1BEA" w:rsidP="002C41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hAnsi="Times New Roman" w:cs="Times New Roman"/>
                <w:sz w:val="20"/>
                <w:szCs w:val="20"/>
              </w:rPr>
              <w:t>Potraživanja po koncesijskim ugovorima</w:t>
            </w:r>
          </w:p>
        </w:tc>
        <w:tc>
          <w:tcPr>
            <w:tcW w:w="2517" w:type="dxa"/>
          </w:tcPr>
          <w:p w:rsidR="009E1BEA" w:rsidRPr="00B5707C" w:rsidRDefault="00B5707C" w:rsidP="009E1B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3.413.142,77</w:t>
            </w:r>
          </w:p>
        </w:tc>
      </w:tr>
      <w:tr w:rsidR="000C678C" w:rsidRPr="00B5707C" w:rsidTr="009E1BEA">
        <w:tc>
          <w:tcPr>
            <w:tcW w:w="7225" w:type="dxa"/>
          </w:tcPr>
          <w:p w:rsidR="009E1BEA" w:rsidRPr="00B5707C" w:rsidRDefault="009E1BEA" w:rsidP="002C41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hAnsi="Times New Roman" w:cs="Times New Roman"/>
                <w:sz w:val="20"/>
                <w:szCs w:val="20"/>
              </w:rPr>
              <w:t>Potraživanja za kamate na dane zajmove</w:t>
            </w:r>
          </w:p>
        </w:tc>
        <w:tc>
          <w:tcPr>
            <w:tcW w:w="2517" w:type="dxa"/>
          </w:tcPr>
          <w:p w:rsidR="009E1BEA" w:rsidRPr="00B5707C" w:rsidRDefault="00B5707C" w:rsidP="009E1B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33.867.393,52</w:t>
            </w:r>
          </w:p>
        </w:tc>
      </w:tr>
      <w:tr w:rsidR="000C678C" w:rsidRPr="00B5707C" w:rsidTr="009E1BEA">
        <w:tc>
          <w:tcPr>
            <w:tcW w:w="7225" w:type="dxa"/>
          </w:tcPr>
          <w:p w:rsidR="009E1BEA" w:rsidRPr="00B5707C" w:rsidRDefault="009E1BEA" w:rsidP="002C41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hAnsi="Times New Roman" w:cs="Times New Roman"/>
                <w:sz w:val="20"/>
                <w:szCs w:val="20"/>
              </w:rPr>
              <w:t>Potraživanja za prihode od pruženih usluga</w:t>
            </w:r>
          </w:p>
        </w:tc>
        <w:tc>
          <w:tcPr>
            <w:tcW w:w="2517" w:type="dxa"/>
          </w:tcPr>
          <w:p w:rsidR="009E1BEA" w:rsidRPr="00B5707C" w:rsidRDefault="00B5707C" w:rsidP="009E1B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85.819,10</w:t>
            </w:r>
          </w:p>
        </w:tc>
      </w:tr>
      <w:tr w:rsidR="000C678C" w:rsidRPr="00B5707C" w:rsidTr="009E1BEA">
        <w:tc>
          <w:tcPr>
            <w:tcW w:w="7225" w:type="dxa"/>
          </w:tcPr>
          <w:p w:rsidR="009E1BEA" w:rsidRPr="00B5707C" w:rsidRDefault="009E1BEA" w:rsidP="002C41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hAnsi="Times New Roman" w:cs="Times New Roman"/>
                <w:sz w:val="20"/>
                <w:szCs w:val="20"/>
              </w:rPr>
              <w:t>Potraživanja po računima za naknadu za sigurnost plovidbe</w:t>
            </w:r>
          </w:p>
        </w:tc>
        <w:tc>
          <w:tcPr>
            <w:tcW w:w="2517" w:type="dxa"/>
          </w:tcPr>
          <w:p w:rsidR="009E1BEA" w:rsidRPr="00B5707C" w:rsidRDefault="00B5707C" w:rsidP="009E1B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2</w:t>
            </w:r>
            <w:r w:rsidR="005F1E6A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.</w:t>
            </w:r>
            <w:r w:rsidRPr="00B5707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147.647,13</w:t>
            </w:r>
          </w:p>
        </w:tc>
      </w:tr>
      <w:tr w:rsidR="000C678C" w:rsidRPr="00B5707C" w:rsidTr="009E1BEA">
        <w:tc>
          <w:tcPr>
            <w:tcW w:w="7225" w:type="dxa"/>
          </w:tcPr>
          <w:p w:rsidR="009E1BEA" w:rsidRPr="00B5707C" w:rsidRDefault="009E1BEA" w:rsidP="002C41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hAnsi="Times New Roman" w:cs="Times New Roman"/>
                <w:sz w:val="20"/>
                <w:szCs w:val="20"/>
              </w:rPr>
              <w:t>Potraživanja za ostale prihode</w:t>
            </w:r>
          </w:p>
        </w:tc>
        <w:tc>
          <w:tcPr>
            <w:tcW w:w="2517" w:type="dxa"/>
          </w:tcPr>
          <w:p w:rsidR="009E1BEA" w:rsidRPr="00B5707C" w:rsidRDefault="00B5707C" w:rsidP="009E1B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572,70</w:t>
            </w:r>
          </w:p>
        </w:tc>
      </w:tr>
      <w:tr w:rsidR="000C678C" w:rsidRPr="00B5707C" w:rsidTr="009E1BEA">
        <w:tc>
          <w:tcPr>
            <w:tcW w:w="7225" w:type="dxa"/>
          </w:tcPr>
          <w:p w:rsidR="009E1BEA" w:rsidRPr="00B5707C" w:rsidRDefault="009E1BEA" w:rsidP="002C411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hAnsi="Times New Roman" w:cs="Times New Roman"/>
                <w:sz w:val="20"/>
                <w:szCs w:val="20"/>
              </w:rPr>
              <w:t>Potraživanja za kazne za prekršaje u prometu</w:t>
            </w:r>
          </w:p>
        </w:tc>
        <w:tc>
          <w:tcPr>
            <w:tcW w:w="2517" w:type="dxa"/>
          </w:tcPr>
          <w:p w:rsidR="009E1BEA" w:rsidRPr="00B5707C" w:rsidRDefault="00B5707C" w:rsidP="009E1B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5.363.074,81</w:t>
            </w:r>
          </w:p>
        </w:tc>
      </w:tr>
      <w:tr w:rsidR="000C678C" w:rsidRPr="00B5707C" w:rsidTr="009E1BEA">
        <w:tc>
          <w:tcPr>
            <w:tcW w:w="7225" w:type="dxa"/>
          </w:tcPr>
          <w:p w:rsidR="009E1BEA" w:rsidRPr="00B5707C" w:rsidRDefault="009E1BEA" w:rsidP="002C411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07C">
              <w:rPr>
                <w:rFonts w:ascii="Times New Roman" w:hAnsi="Times New Roman" w:cs="Times New Roman"/>
                <w:sz w:val="20"/>
                <w:szCs w:val="20"/>
              </w:rPr>
              <w:t>Potraživanja od Ministarstva financija za namjenske prihode</w:t>
            </w:r>
          </w:p>
        </w:tc>
        <w:tc>
          <w:tcPr>
            <w:tcW w:w="2517" w:type="dxa"/>
          </w:tcPr>
          <w:p w:rsidR="009E1BEA" w:rsidRPr="00B5707C" w:rsidRDefault="00B5707C" w:rsidP="009E1B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18.579.700,55</w:t>
            </w:r>
          </w:p>
        </w:tc>
      </w:tr>
      <w:tr w:rsidR="000C678C" w:rsidRPr="00B5707C" w:rsidTr="009E1BEA">
        <w:tc>
          <w:tcPr>
            <w:tcW w:w="7225" w:type="dxa"/>
          </w:tcPr>
          <w:p w:rsidR="009E1BEA" w:rsidRPr="00B5707C" w:rsidRDefault="009E1BEA" w:rsidP="009E1BE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07C">
              <w:rPr>
                <w:rFonts w:ascii="Times New Roman" w:hAnsi="Times New Roman" w:cs="Times New Roman"/>
                <w:sz w:val="20"/>
                <w:szCs w:val="20"/>
              </w:rPr>
              <w:t>Potraživanja za povrat pomoći trg. društvima po protestiranim jamstvima</w:t>
            </w:r>
          </w:p>
        </w:tc>
        <w:tc>
          <w:tcPr>
            <w:tcW w:w="2517" w:type="dxa"/>
          </w:tcPr>
          <w:p w:rsidR="009E1BEA" w:rsidRPr="00B5707C" w:rsidRDefault="00B5707C" w:rsidP="009E1B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809.694,00</w:t>
            </w:r>
          </w:p>
        </w:tc>
      </w:tr>
      <w:tr w:rsidR="000C678C" w:rsidRPr="00B5707C" w:rsidTr="009E1BEA">
        <w:tc>
          <w:tcPr>
            <w:tcW w:w="7225" w:type="dxa"/>
          </w:tcPr>
          <w:p w:rsidR="009E1BEA" w:rsidRPr="00B5707C" w:rsidRDefault="009E1BEA" w:rsidP="002C411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07C">
              <w:rPr>
                <w:rFonts w:ascii="Times New Roman" w:hAnsi="Times New Roman" w:cs="Times New Roman"/>
                <w:sz w:val="20"/>
                <w:szCs w:val="20"/>
              </w:rPr>
              <w:t>Ispravak vrijednosti potraživanja</w:t>
            </w:r>
          </w:p>
        </w:tc>
        <w:tc>
          <w:tcPr>
            <w:tcW w:w="2517" w:type="dxa"/>
          </w:tcPr>
          <w:p w:rsidR="009E1BEA" w:rsidRPr="00B5707C" w:rsidRDefault="00B5707C" w:rsidP="009E1B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14:ligatures w14:val="standardContextual"/>
              </w:rPr>
              <w:t>4.944.913,75</w:t>
            </w:r>
          </w:p>
        </w:tc>
      </w:tr>
      <w:tr w:rsidR="000C678C" w:rsidRPr="00B5707C" w:rsidTr="009E1BEA">
        <w:tc>
          <w:tcPr>
            <w:tcW w:w="7225" w:type="dxa"/>
            <w:shd w:val="clear" w:color="auto" w:fill="D9E2F3" w:themeFill="accent5" w:themeFillTint="33"/>
          </w:tcPr>
          <w:p w:rsidR="009E1BEA" w:rsidRPr="00B5707C" w:rsidRDefault="009E1BEA" w:rsidP="002C41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07C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2517" w:type="dxa"/>
            <w:shd w:val="clear" w:color="auto" w:fill="D9E2F3" w:themeFill="accent5" w:themeFillTint="33"/>
          </w:tcPr>
          <w:p w:rsidR="009E1BEA" w:rsidRPr="00B5707C" w:rsidRDefault="00B5707C" w:rsidP="009E1BE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B5707C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60.502.773,53</w:t>
            </w:r>
          </w:p>
        </w:tc>
      </w:tr>
    </w:tbl>
    <w:p w:rsidR="009E1BEA" w:rsidRPr="005F1E6A" w:rsidRDefault="009E1BEA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B5707C" w:rsidRPr="005F1E6A" w:rsidRDefault="00B5707C" w:rsidP="00B5707C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Potraživanja za pomoći iz inozemstva odnose se na potraživanja za rashode financirane iz izvora 559 (Ostale refundacije iz pomoći EU) koja se refundiraju. Potraživanja se odnose na slijedeće projekte: T587065 INERREG Va Italija-Hrvatska projekt GUTTA-Uštede goriva i smanjenje emisija iz pomorskog prometa u Jadranskom moru, T810065 CEF PSA – Razvoj standarda za pružanje multimodalnih putnih informacija, K810056 CEF 2014.-2020. Izrada studije utjecaja na okoliš i projektne dokumentacije za kritičnu dionicu rijeke Save, K810067 CEF 2014.-2020. Priprema Fairway2 radova na koridoru Rajna-Dunav, K819082 CEF 2014.-2020. RIS COMEX</w:t>
      </w:r>
      <w:r w:rsidR="009B5B0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II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primjena RIS-a u upravljanju prometnim koridorima, T819077 CEF PSA </w:t>
      </w:r>
      <w:r w:rsidR="00CF201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NAPCOORE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programska podrška za provedbu mehanizma koordinacije za objedinjavanje nacionalnih pristupnih točaka, T5870</w:t>
      </w:r>
      <w:r w:rsidR="00CF201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84 INTERREG projekt ACTIVE2PUBLI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C Transport- podrška boljem kombiniranju biciklizma, pješačenja i javnog prijevoza u Dunavskoj regiji i T820083Mehanizam zaštite osjetljivih područja Jadrana (ASAP).</w:t>
      </w:r>
    </w:p>
    <w:p w:rsidR="00B5707C" w:rsidRPr="005F1E6A" w:rsidRDefault="00B5707C" w:rsidP="00B5707C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Pružnim građevinama d.o.o. u  2023. godini društvu je dan kratkoročni zajam s rokom povrata 23. 05. 2024. godine, a obračunate su zatezne kamate do 31. 12. 2024. godine s obzirom da zajam nije vraćen u ugovorenom roku.</w:t>
      </w:r>
    </w:p>
    <w:p w:rsidR="00B5707C" w:rsidRPr="005F1E6A" w:rsidRDefault="00B5707C" w:rsidP="00B5707C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Temeljem ugovora o koncesijskoj naknadi na pomorskom dobru, evidentirana su potraživanja od koncesionara. Prihodi od koncesija su prihodi državnog proračuna, odnosno jedinica lokalne i regionalne samouprave. Ministarstvo je na dan 31. 12. 2024. godine imalo evidentirana potraživanja od koncesijskih naknada u pomorskom prometu u iznosu od 3.413.142,77 eura, a najznačajnija potraživanja po ugovorima o koncesiji na pomorskom dobru odnose se Brodograđevnu industriju Split d.d., i Uljanik brodogradnja 1856 d.o.o. Sukladno Izmjenama i dopunama pravilnika o proračunskom računovodstvu i računskom planu, Ministarstvo je evidentiralo ispravak vrijednosti potraživanja po koncesijskim ugovorima sukladno propisanim kriterijima.</w:t>
      </w:r>
    </w:p>
    <w:p w:rsidR="00B5707C" w:rsidRPr="005F1E6A" w:rsidRDefault="00B5707C" w:rsidP="00B5707C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Po koncesijskom ugovoru sklopljenim s Autocestom Zagreb-Macelj, evidentirana su potraživanja za kamate za Sharelolder loan i potraživanja za kamate za isplaćen TSCA (27.882.267,87 eura), po ugovorima o dioničarskom zajmu sklopljenim s društvom Croatia Airlines, Ministarstvo je evidentiralo potraživanja za kamate u iznosu od 5.430.136,02 eura, a po ugovoru o zajmu s Pružnim građevinama potraživanja za kamate iznose 554.989,63 eura.</w:t>
      </w:r>
    </w:p>
    <w:p w:rsidR="00B5707C" w:rsidRPr="005F1E6A" w:rsidRDefault="00B5707C" w:rsidP="00B5707C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Sukladno Pomorskom zakoniku, 50% naknade za sigurnost plovidbe je prihod Državnog proračuna, a 50% naknade je namjenski prihod Ministarstva. Na dan 31. 12. 2024. godine Ministarstvo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je imalo potraživanja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temeljem izdanih obračuna naknada za sigurnost plovidbe u iznosu od 2.147.647,13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 Za potraživanja starija od godinu dana izvršen je ispravak vrijednosti potraživanja. Vlasnicima plovila koji nisu uplatili dospjele naknade dostavljene su opomene. Temeljem odredbi Pomorskog zakonika, vlasnici brodica koji nisu 2 godine uzastopno uplatili naknadu za sigurnost plovidbe, brisani su iz registra upisnika brodova.</w:t>
      </w:r>
    </w:p>
    <w:p w:rsidR="00B5707C" w:rsidRPr="005F1E6A" w:rsidRDefault="00B5707C" w:rsidP="00B5707C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Za neplaćene kazne za prometne prekršaje pokrenuti su ovršni i sudski postupci. Ispravak vrijednosti potraživanja za nenaplaćene kazne za prometne prekršaje izvršen je sukladno kriterijima propisanim Izmjenama i dopunama pravilnika o proračunskom računovodstvu i računskom planu.</w:t>
      </w:r>
    </w:p>
    <w:p w:rsidR="00B5707C" w:rsidRPr="005F1E6A" w:rsidRDefault="00B5707C" w:rsidP="00B5707C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Potraživanja za namjenske prihode uplaćene u Državni proračun odnose se na: uplaćene namjenske prihode od naknade za sigurnost plovidbe i naknade za izobrazbu pomoraca, sukladno Pomorskom zakoniku (6.139.173,04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), uplaćen predujam za Projekt DG ECHO Adriatic 2017 (25.088,76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), uplaćen predujam za projekt CEF 2014.-2020. Izrada studije utjecaja na okoliš i projektne dokumentacije za kritičnu dionicu rijeke Save (10,00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), uplaćen predujam za projekt CEF – tehnička pomoć 2022.-2024. (324.222,14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), uplaćeni predujam za projekt CEF PSA </w:t>
      </w:r>
      <w:r w:rsidR="00CF201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NAPCOORE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(45.188,68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), uplaćen predujam za projekt NAMIRS-Sustav reagiranja na iznenadna onečišćenja mora s pomorskih objekata u sjevernom Jadranu (7.563,63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), uplaćeni predujam za projekt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RIS COME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X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II</w:t>
      </w:r>
      <w:r w:rsidR="009B5B0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-P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rimjena RIS-a u upravljanju prometnim koridorima (192.161,94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), primljeni predujam za projekt CYSCROMS Kibernetička sigurnost u pomorskom prometu (250.323,86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), uplaćeni p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redujam za projekt CEF X4ITS – S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rednjoeuropska prekogranična suradnja za inteligentne transportne sustave (23.156,98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), uplaćeni predujam za projekt CEF Fairway Danube 2-budući koraci unaprjeđenje plovidbe na Dunavu (233.096,96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), primljeni predujam za projekt CEF – Crocodille (55.477,40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), prenesena sredstva iz MUP-a za opremanje inspekcije opremom i ostalim uređajima (446.697,56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), uplaćenu donaciju za izgradnju izložbene prostorije na pelješkom mostu (32.153,75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="00617C2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), neutrošena sredstava po povuč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enoj tranši zajma EIB-a za projekt revitalizacija željezničkog sustava RH (10.525.429,83 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)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te za uplaćene vlastite prihode i jamstva.</w:t>
      </w:r>
    </w:p>
    <w:p w:rsidR="003D33E0" w:rsidRPr="005F1E6A" w:rsidRDefault="00B5707C" w:rsidP="00B5707C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Protestirana su tri jamstva dodijeljena u sklopu Programa dodjele državnih potpora sektoru mora, prometa i prometne infrastrukture u povezanim dje</w:t>
      </w:r>
      <w:r w:rsidR="005F1E6A"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latnostima u pandemiji COVID-19</w:t>
      </w:r>
      <w:r w:rsidRPr="005F1E6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te su evidentirana potraživanja za povrat danih pomoći trgovačkim društvima po protestiranim jamstvima.</w:t>
      </w:r>
    </w:p>
    <w:p w:rsidR="003D33E0" w:rsidRPr="005F1E6A" w:rsidRDefault="003D33E0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3D33E0" w:rsidRPr="00E501E0" w:rsidRDefault="00BB3F13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5F1E6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Stanje </w:t>
      </w:r>
      <w:r w:rsidRPr="00E501E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nepodmirenih dosp</w:t>
      </w:r>
      <w:r w:rsidR="00E501E0" w:rsidRPr="00E501E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jelih obveza na dan 31. 12. 2024</w:t>
      </w:r>
      <w:r w:rsidRPr="00E501E0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 godine</w:t>
      </w:r>
    </w:p>
    <w:p w:rsidR="003D33E0" w:rsidRPr="00E501E0" w:rsidRDefault="00997FC1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E501E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Dos</w:t>
      </w:r>
      <w:r w:rsidR="00E501E0" w:rsidRPr="00E501E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pjele obveze na dan 31. 12. 2024</w:t>
      </w:r>
      <w:r w:rsidRPr="00E501E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. </w:t>
      </w:r>
      <w:r w:rsidR="006A209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godine iznosile</w:t>
      </w:r>
      <w:r w:rsidRPr="00E501E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su </w:t>
      </w:r>
      <w:r w:rsidR="00E501E0" w:rsidRPr="00E501E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271,91</w:t>
      </w:r>
      <w:r w:rsidRPr="00E501E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eura, a odnose se na dio računa za uporabu javnih cesta i cestarine za najteže invalide. Račun je zaprimljen nakon provedenih svih prerespodjela, a sredstva preostala na stavci za podmirenje naknada za uporabu javnih cesta i cestarine za najteže invalide nisu bila dostatna za podmirenje računa u cijelosti pa je račun podmiren djelomično, a preostali iznos računa je podmiren </w:t>
      </w:r>
      <w:r w:rsidR="00E501E0" w:rsidRPr="00E501E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početkom 2025</w:t>
      </w:r>
      <w:r w:rsidRPr="00E501E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 godine.</w:t>
      </w:r>
    </w:p>
    <w:p w:rsidR="003174F6" w:rsidRPr="00C14EDA" w:rsidRDefault="003174F6" w:rsidP="00BC0BC9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BC0BC9" w:rsidRPr="00C77DB8" w:rsidRDefault="00BC0BC9" w:rsidP="00BC0BC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C77DB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S</w:t>
      </w:r>
      <w:r w:rsidR="002302B0" w:rsidRPr="00C77DB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tanje pote</w:t>
      </w:r>
      <w:r w:rsidRPr="00C77DB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ncijalnih obveza po osnovi sud</w:t>
      </w:r>
      <w:r w:rsidR="00C77DB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skih sporova na dan 31. 12. 2024</w:t>
      </w:r>
      <w:r w:rsidRPr="00C77DB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 godine</w:t>
      </w:r>
    </w:p>
    <w:p w:rsidR="00BC0BC9" w:rsidRPr="00C77DB8" w:rsidRDefault="00302E38" w:rsidP="00BC0BC9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C77DB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Potencijalne obveze po sudskim sporovima na kraju 2023. godine iznosile su </w:t>
      </w:r>
      <w:r w:rsidR="00C77DB8" w:rsidRPr="00C77DB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410.965.881,97</w:t>
      </w:r>
      <w:r w:rsidRPr="00C77DB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eura. </w:t>
      </w:r>
      <w:r w:rsidR="00C77DB8" w:rsidRPr="00C77DB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Najznačajniji iznos obveza po sudskim sporovima odnosi se na tužbu R.L.E. vlasnika Mirka Rapića protiv Republike Hrvatske, radi naknade štete u iznosu od 214.724.621,86 eura. Prema navodima iz tužbe, nanesena mu je šteta jer je za gospodarsko korištenje pomorskog dobra – luke posebne namjene - Brodogradilišta Vranjic u Solinu, u Elektroničkom oglasniku javne nabave pokrenut postupak javnog prikupljanja ponuda, a ista mu nije dodijeljena.</w:t>
      </w:r>
    </w:p>
    <w:sectPr w:rsidR="00BC0BC9" w:rsidRPr="00C77DB8" w:rsidSect="002C4117">
      <w:footerReference w:type="default" r:id="rId11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DA" w:rsidRDefault="00C14EDA" w:rsidP="002C4117">
      <w:pPr>
        <w:spacing w:after="0" w:line="240" w:lineRule="auto"/>
      </w:pPr>
      <w:r>
        <w:separator/>
      </w:r>
    </w:p>
  </w:endnote>
  <w:endnote w:type="continuationSeparator" w:id="0">
    <w:p w:rsidR="00C14EDA" w:rsidRDefault="00C14EDA" w:rsidP="002C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312380"/>
      <w:docPartObj>
        <w:docPartGallery w:val="Page Numbers (Bottom of Page)"/>
        <w:docPartUnique/>
      </w:docPartObj>
    </w:sdtPr>
    <w:sdtEndPr/>
    <w:sdtContent>
      <w:p w:rsidR="00C14EDA" w:rsidRDefault="00C14ED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2DD">
          <w:rPr>
            <w:noProof/>
          </w:rPr>
          <w:t>1</w:t>
        </w:r>
        <w:r>
          <w:fldChar w:fldCharType="end"/>
        </w:r>
      </w:p>
    </w:sdtContent>
  </w:sdt>
  <w:p w:rsidR="00C14EDA" w:rsidRDefault="00C14E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DA" w:rsidRDefault="00C14EDA" w:rsidP="002C4117">
      <w:pPr>
        <w:spacing w:after="0" w:line="240" w:lineRule="auto"/>
      </w:pPr>
      <w:r>
        <w:separator/>
      </w:r>
    </w:p>
  </w:footnote>
  <w:footnote w:type="continuationSeparator" w:id="0">
    <w:p w:rsidR="00C14EDA" w:rsidRDefault="00C14EDA" w:rsidP="002C4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7AED"/>
    <w:multiLevelType w:val="multilevel"/>
    <w:tmpl w:val="085C35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17"/>
    <w:rsid w:val="00033BC8"/>
    <w:rsid w:val="00044CCD"/>
    <w:rsid w:val="00052A2D"/>
    <w:rsid w:val="00052B07"/>
    <w:rsid w:val="00057E75"/>
    <w:rsid w:val="00060D81"/>
    <w:rsid w:val="00097304"/>
    <w:rsid w:val="000C1454"/>
    <w:rsid w:val="000C50A3"/>
    <w:rsid w:val="000C678C"/>
    <w:rsid w:val="000D1AF4"/>
    <w:rsid w:val="000D7780"/>
    <w:rsid w:val="000E6821"/>
    <w:rsid w:val="000F054B"/>
    <w:rsid w:val="000F2E31"/>
    <w:rsid w:val="00106A0A"/>
    <w:rsid w:val="00122B07"/>
    <w:rsid w:val="00132549"/>
    <w:rsid w:val="0013708B"/>
    <w:rsid w:val="00143E72"/>
    <w:rsid w:val="001452F3"/>
    <w:rsid w:val="001540F7"/>
    <w:rsid w:val="0016301B"/>
    <w:rsid w:val="00185028"/>
    <w:rsid w:val="001A183B"/>
    <w:rsid w:val="001D56C2"/>
    <w:rsid w:val="001E76EA"/>
    <w:rsid w:val="002201AA"/>
    <w:rsid w:val="002302B0"/>
    <w:rsid w:val="002330F9"/>
    <w:rsid w:val="00244641"/>
    <w:rsid w:val="002471A5"/>
    <w:rsid w:val="0025295C"/>
    <w:rsid w:val="00262694"/>
    <w:rsid w:val="00272D89"/>
    <w:rsid w:val="002761BA"/>
    <w:rsid w:val="00283A05"/>
    <w:rsid w:val="002B0428"/>
    <w:rsid w:val="002C4117"/>
    <w:rsid w:val="002C5031"/>
    <w:rsid w:val="002D58B1"/>
    <w:rsid w:val="002E26D6"/>
    <w:rsid w:val="002F1013"/>
    <w:rsid w:val="002F4330"/>
    <w:rsid w:val="00302E38"/>
    <w:rsid w:val="0031373F"/>
    <w:rsid w:val="003174F6"/>
    <w:rsid w:val="003245B9"/>
    <w:rsid w:val="00333398"/>
    <w:rsid w:val="0035507B"/>
    <w:rsid w:val="003604E5"/>
    <w:rsid w:val="00367C8F"/>
    <w:rsid w:val="00383139"/>
    <w:rsid w:val="003928AD"/>
    <w:rsid w:val="003954D7"/>
    <w:rsid w:val="003A7119"/>
    <w:rsid w:val="003B07BF"/>
    <w:rsid w:val="003C4ED4"/>
    <w:rsid w:val="003D33E0"/>
    <w:rsid w:val="003E0DF2"/>
    <w:rsid w:val="003E1479"/>
    <w:rsid w:val="003E52BA"/>
    <w:rsid w:val="003E6434"/>
    <w:rsid w:val="004148D1"/>
    <w:rsid w:val="004227D6"/>
    <w:rsid w:val="004312CA"/>
    <w:rsid w:val="00431509"/>
    <w:rsid w:val="00433F21"/>
    <w:rsid w:val="00454527"/>
    <w:rsid w:val="0046006D"/>
    <w:rsid w:val="0047216B"/>
    <w:rsid w:val="00476CC8"/>
    <w:rsid w:val="0049166C"/>
    <w:rsid w:val="004969BB"/>
    <w:rsid w:val="00496E4F"/>
    <w:rsid w:val="004B4344"/>
    <w:rsid w:val="004E4DA4"/>
    <w:rsid w:val="004E6045"/>
    <w:rsid w:val="00512733"/>
    <w:rsid w:val="00513007"/>
    <w:rsid w:val="005134F2"/>
    <w:rsid w:val="00515D27"/>
    <w:rsid w:val="00525943"/>
    <w:rsid w:val="00526082"/>
    <w:rsid w:val="005424CB"/>
    <w:rsid w:val="005668F3"/>
    <w:rsid w:val="00572388"/>
    <w:rsid w:val="0057391E"/>
    <w:rsid w:val="00596118"/>
    <w:rsid w:val="005A2C64"/>
    <w:rsid w:val="005A3EBE"/>
    <w:rsid w:val="005A77C3"/>
    <w:rsid w:val="005C6C18"/>
    <w:rsid w:val="005E6F31"/>
    <w:rsid w:val="005F0112"/>
    <w:rsid w:val="005F1E6A"/>
    <w:rsid w:val="005F2EF1"/>
    <w:rsid w:val="00606EDA"/>
    <w:rsid w:val="00617C2A"/>
    <w:rsid w:val="006213AB"/>
    <w:rsid w:val="00634ADE"/>
    <w:rsid w:val="00635F35"/>
    <w:rsid w:val="00680472"/>
    <w:rsid w:val="0068735D"/>
    <w:rsid w:val="006A2096"/>
    <w:rsid w:val="006B1D72"/>
    <w:rsid w:val="006E29C7"/>
    <w:rsid w:val="006F01AC"/>
    <w:rsid w:val="00701ABF"/>
    <w:rsid w:val="00710ECB"/>
    <w:rsid w:val="00716A6B"/>
    <w:rsid w:val="00736A4C"/>
    <w:rsid w:val="0075060F"/>
    <w:rsid w:val="00780FAF"/>
    <w:rsid w:val="00785565"/>
    <w:rsid w:val="00793C86"/>
    <w:rsid w:val="007B1287"/>
    <w:rsid w:val="007C07E9"/>
    <w:rsid w:val="007C4AEA"/>
    <w:rsid w:val="007C714F"/>
    <w:rsid w:val="007F020E"/>
    <w:rsid w:val="00824563"/>
    <w:rsid w:val="00835A71"/>
    <w:rsid w:val="00846A45"/>
    <w:rsid w:val="008545A0"/>
    <w:rsid w:val="008827A9"/>
    <w:rsid w:val="008D0EFA"/>
    <w:rsid w:val="008E5233"/>
    <w:rsid w:val="009065E7"/>
    <w:rsid w:val="00915B0A"/>
    <w:rsid w:val="00935753"/>
    <w:rsid w:val="0094169A"/>
    <w:rsid w:val="00951CC5"/>
    <w:rsid w:val="0096070A"/>
    <w:rsid w:val="009863C1"/>
    <w:rsid w:val="00990F65"/>
    <w:rsid w:val="00997FC1"/>
    <w:rsid w:val="009A41BA"/>
    <w:rsid w:val="009A6419"/>
    <w:rsid w:val="009A7D21"/>
    <w:rsid w:val="009B5B09"/>
    <w:rsid w:val="009C7BF2"/>
    <w:rsid w:val="009E1BEA"/>
    <w:rsid w:val="009F2661"/>
    <w:rsid w:val="00A37209"/>
    <w:rsid w:val="00A4588A"/>
    <w:rsid w:val="00A718D5"/>
    <w:rsid w:val="00A832C6"/>
    <w:rsid w:val="00A9077C"/>
    <w:rsid w:val="00A95C85"/>
    <w:rsid w:val="00AB26DE"/>
    <w:rsid w:val="00AD41C1"/>
    <w:rsid w:val="00B10D86"/>
    <w:rsid w:val="00B12AB4"/>
    <w:rsid w:val="00B21777"/>
    <w:rsid w:val="00B26B13"/>
    <w:rsid w:val="00B479C5"/>
    <w:rsid w:val="00B5707C"/>
    <w:rsid w:val="00B649D3"/>
    <w:rsid w:val="00B67D04"/>
    <w:rsid w:val="00B718B8"/>
    <w:rsid w:val="00B73CFF"/>
    <w:rsid w:val="00B8536F"/>
    <w:rsid w:val="00B85D2B"/>
    <w:rsid w:val="00B8665F"/>
    <w:rsid w:val="00B920FE"/>
    <w:rsid w:val="00BB1D5D"/>
    <w:rsid w:val="00BB3F13"/>
    <w:rsid w:val="00BC0BC9"/>
    <w:rsid w:val="00BC1A34"/>
    <w:rsid w:val="00BD43D7"/>
    <w:rsid w:val="00BD6E99"/>
    <w:rsid w:val="00BE169B"/>
    <w:rsid w:val="00C03B03"/>
    <w:rsid w:val="00C122DD"/>
    <w:rsid w:val="00C14EDA"/>
    <w:rsid w:val="00C1668A"/>
    <w:rsid w:val="00C228BC"/>
    <w:rsid w:val="00C243E5"/>
    <w:rsid w:val="00C25DF8"/>
    <w:rsid w:val="00C33B37"/>
    <w:rsid w:val="00C34EE1"/>
    <w:rsid w:val="00C4025E"/>
    <w:rsid w:val="00C41BBC"/>
    <w:rsid w:val="00C46CF5"/>
    <w:rsid w:val="00C66CEC"/>
    <w:rsid w:val="00C70743"/>
    <w:rsid w:val="00C70A22"/>
    <w:rsid w:val="00C77DB8"/>
    <w:rsid w:val="00C83F48"/>
    <w:rsid w:val="00C93ACA"/>
    <w:rsid w:val="00CB2B56"/>
    <w:rsid w:val="00CC1BFF"/>
    <w:rsid w:val="00CC615C"/>
    <w:rsid w:val="00CE030F"/>
    <w:rsid w:val="00CF2019"/>
    <w:rsid w:val="00D11212"/>
    <w:rsid w:val="00D24E76"/>
    <w:rsid w:val="00D34BF1"/>
    <w:rsid w:val="00D47DCA"/>
    <w:rsid w:val="00D65885"/>
    <w:rsid w:val="00D74F78"/>
    <w:rsid w:val="00DA7248"/>
    <w:rsid w:val="00DB5B27"/>
    <w:rsid w:val="00DD1F88"/>
    <w:rsid w:val="00DE136F"/>
    <w:rsid w:val="00DF317A"/>
    <w:rsid w:val="00E3696E"/>
    <w:rsid w:val="00E501E0"/>
    <w:rsid w:val="00E5068B"/>
    <w:rsid w:val="00E549CE"/>
    <w:rsid w:val="00E54BA8"/>
    <w:rsid w:val="00E736AF"/>
    <w:rsid w:val="00E92680"/>
    <w:rsid w:val="00E96F1E"/>
    <w:rsid w:val="00EB7D40"/>
    <w:rsid w:val="00ED001A"/>
    <w:rsid w:val="00ED0A3B"/>
    <w:rsid w:val="00ED0BA4"/>
    <w:rsid w:val="00EF5DC8"/>
    <w:rsid w:val="00F129E4"/>
    <w:rsid w:val="00F1405B"/>
    <w:rsid w:val="00F1581E"/>
    <w:rsid w:val="00F26D27"/>
    <w:rsid w:val="00F459D6"/>
    <w:rsid w:val="00F90CF1"/>
    <w:rsid w:val="00FA0032"/>
    <w:rsid w:val="00FA67AE"/>
    <w:rsid w:val="00FC04C9"/>
    <w:rsid w:val="00FC66FA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B5CDF-62D9-44BA-86EF-F9F43E0B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8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C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4117"/>
  </w:style>
  <w:style w:type="paragraph" w:styleId="Podnoje">
    <w:name w:val="footer"/>
    <w:basedOn w:val="Normal"/>
    <w:link w:val="PodnojeChar"/>
    <w:uiPriority w:val="99"/>
    <w:unhideWhenUsed/>
    <w:rsid w:val="002C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4117"/>
  </w:style>
  <w:style w:type="paragraph" w:styleId="Tekstbalonia">
    <w:name w:val="Balloon Text"/>
    <w:basedOn w:val="Normal"/>
    <w:link w:val="TekstbaloniaChar"/>
    <w:uiPriority w:val="99"/>
    <w:semiHidden/>
    <w:unhideWhenUsed/>
    <w:rsid w:val="004E6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6045"/>
    <w:rPr>
      <w:rFonts w:ascii="Segoe UI" w:hAnsi="Segoe UI" w:cs="Segoe UI"/>
      <w:sz w:val="18"/>
      <w:szCs w:val="18"/>
    </w:rPr>
  </w:style>
  <w:style w:type="character" w:customStyle="1" w:styleId="TijelotekstaChar">
    <w:name w:val="Tijelo teksta Char"/>
    <w:basedOn w:val="Zadanifontodlomka"/>
    <w:link w:val="Tijeloteksta"/>
    <w:rsid w:val="00572388"/>
    <w:rPr>
      <w:rFonts w:ascii="Times New Roman" w:eastAsia="Times New Roman" w:hAnsi="Times New Roman" w:cs="Times New Roman"/>
    </w:rPr>
  </w:style>
  <w:style w:type="paragraph" w:styleId="Tijeloteksta">
    <w:name w:val="Body Text"/>
    <w:basedOn w:val="Normal"/>
    <w:link w:val="TijelotekstaChar"/>
    <w:qFormat/>
    <w:rsid w:val="00572388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72388"/>
  </w:style>
  <w:style w:type="table" w:styleId="Reetkatablice">
    <w:name w:val="Table Grid"/>
    <w:basedOn w:val="Obinatablica"/>
    <w:uiPriority w:val="39"/>
    <w:rsid w:val="009E1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5B47-FAA5-4B09-8F03-EBCD4327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4861</Words>
  <Characters>27709</Characters>
  <Application>Microsoft Office Word</Application>
  <DocSecurity>0</DocSecurity>
  <Lines>230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Anna-Marija Jakšić</dc:creator>
  <cp:keywords/>
  <dc:description/>
  <cp:lastModifiedBy>Andreja Sladoljev</cp:lastModifiedBy>
  <cp:revision>2</cp:revision>
  <cp:lastPrinted>2023-08-25T06:46:00Z</cp:lastPrinted>
  <dcterms:created xsi:type="dcterms:W3CDTF">2025-08-07T13:02:00Z</dcterms:created>
  <dcterms:modified xsi:type="dcterms:W3CDTF">2025-08-07T13:02:00Z</dcterms:modified>
</cp:coreProperties>
</file>